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DFCB7" w14:textId="77777777" w:rsidR="002F31CB" w:rsidRPr="00B228C5" w:rsidRDefault="002F31CB" w:rsidP="002F31CB">
      <w:pPr>
        <w:spacing w:after="120" w:line="360" w:lineRule="auto"/>
        <w:ind w:right="-33"/>
        <w:jc w:val="center"/>
        <w:rPr>
          <w:b/>
          <w:color w:val="0000FF"/>
          <w:u w:val="single"/>
          <w:lang w:val="el-GR"/>
        </w:rPr>
      </w:pPr>
      <w:r>
        <w:rPr>
          <w:b/>
          <w:noProof/>
          <w:color w:val="0000FF"/>
          <w:u w:val="single"/>
          <w:lang w:val="el-GR" w:eastAsia="el-GR"/>
        </w:rPr>
        <w:drawing>
          <wp:anchor distT="0" distB="0" distL="114300" distR="114300" simplePos="0" relativeHeight="251659264" behindDoc="0" locked="0" layoutInCell="1" allowOverlap="1" wp14:anchorId="7401B508" wp14:editId="008AEFEB">
            <wp:simplePos x="0" y="0"/>
            <wp:positionH relativeFrom="column">
              <wp:posOffset>-114300</wp:posOffset>
            </wp:positionH>
            <wp:positionV relativeFrom="paragraph">
              <wp:posOffset>-114300</wp:posOffset>
            </wp:positionV>
            <wp:extent cx="1049655" cy="104965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clrChange>
                        <a:clrFrom>
                          <a:srgbClr val="B7B7B7"/>
                        </a:clrFrom>
                        <a:clrTo>
                          <a:srgbClr val="B7B7B7">
                            <a:alpha val="0"/>
                          </a:srgbClr>
                        </a:clrTo>
                      </a:clrChange>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8C5">
        <w:rPr>
          <w:b/>
          <w:color w:val="0000FF"/>
          <w:u w:val="single"/>
          <w:lang w:val="el-GR"/>
        </w:rPr>
        <w:t xml:space="preserve">ΕΛΛΗΝΙΚΗ ΡΕΥΜΑΤΟΛΟΓΙΚΗ ΕΤΑΙΡΕΙΑ </w:t>
      </w:r>
    </w:p>
    <w:p w14:paraId="4BF4E6ED" w14:textId="77777777" w:rsidR="002F31CB" w:rsidRPr="00B228C5" w:rsidRDefault="002F31CB" w:rsidP="002F31CB">
      <w:pPr>
        <w:spacing w:after="120" w:line="360" w:lineRule="auto"/>
        <w:ind w:right="-34"/>
        <w:jc w:val="center"/>
        <w:rPr>
          <w:b/>
          <w:color w:val="0000FF"/>
          <w:u w:val="single"/>
          <w:lang w:val="el-GR"/>
        </w:rPr>
      </w:pPr>
      <w:r w:rsidRPr="00B228C5">
        <w:rPr>
          <w:b/>
          <w:color w:val="0000FF"/>
          <w:u w:val="single"/>
          <w:lang w:val="el-GR"/>
        </w:rPr>
        <w:t>&amp; ΕΠΑΓΓΕΛΜΑΤΙΚΗ ΕΝΩΣΗ ΡΕΥΜΑΤΟΛΟΓΩΝ ΕΛΛΑΔΟΣ</w:t>
      </w:r>
    </w:p>
    <w:p w14:paraId="0D4BE1E6" w14:textId="77777777" w:rsidR="002F31CB" w:rsidRPr="00B228C5" w:rsidRDefault="002F31CB" w:rsidP="002F31CB">
      <w:pPr>
        <w:spacing w:after="120" w:line="360" w:lineRule="auto"/>
        <w:ind w:right="-34"/>
        <w:jc w:val="center"/>
        <w:rPr>
          <w:b/>
          <w:color w:val="0000FF"/>
          <w:u w:val="single"/>
          <w:lang w:val="el-GR"/>
        </w:rPr>
      </w:pPr>
      <w:r w:rsidRPr="00B228C5">
        <w:rPr>
          <w:b/>
          <w:color w:val="0000FF"/>
          <w:u w:val="single"/>
          <w:lang w:val="el-GR"/>
        </w:rPr>
        <w:t>(Ε.Ρ.Ε.-ΕΠ.Ε.Ρ.Ε.)</w:t>
      </w:r>
    </w:p>
    <w:p w14:paraId="3325F931" w14:textId="77777777" w:rsidR="002F31CB" w:rsidRPr="00B228C5" w:rsidRDefault="002F31CB" w:rsidP="001660D3">
      <w:pPr>
        <w:spacing w:after="120" w:line="360" w:lineRule="auto"/>
        <w:ind w:left="720" w:right="-33" w:firstLine="720"/>
        <w:jc w:val="center"/>
        <w:rPr>
          <w:b/>
          <w:u w:val="single"/>
          <w:lang w:val="el-GR"/>
        </w:rPr>
      </w:pPr>
      <w:bookmarkStart w:id="0" w:name="_GoBack"/>
      <w:bookmarkEnd w:id="0"/>
      <w:r w:rsidRPr="00B228C5">
        <w:rPr>
          <w:b/>
          <w:u w:val="single"/>
          <w:lang w:val="el-GR"/>
        </w:rPr>
        <w:t>Έτος Ιδρύσεως 1960</w:t>
      </w:r>
    </w:p>
    <w:p w14:paraId="52D58EF6" w14:textId="77777777" w:rsidR="002F31CB" w:rsidRPr="00B228C5" w:rsidRDefault="002F31CB" w:rsidP="002F31CB">
      <w:pPr>
        <w:spacing w:after="120" w:line="360" w:lineRule="auto"/>
        <w:jc w:val="both"/>
        <w:rPr>
          <w:rFonts w:ascii="Arial" w:hAnsi="Arial" w:cs="Arial"/>
          <w:lang w:val="el-GR"/>
        </w:rPr>
      </w:pPr>
    </w:p>
    <w:p w14:paraId="65DA5C1D" w14:textId="77777777" w:rsidR="002F31CB" w:rsidRDefault="002F31CB" w:rsidP="002F31CB">
      <w:pPr>
        <w:spacing w:after="120" w:line="360" w:lineRule="auto"/>
        <w:jc w:val="center"/>
        <w:rPr>
          <w:rFonts w:asciiTheme="majorHAnsi" w:hAnsiTheme="majorHAnsi" w:cs="Times New Roman"/>
          <w:b/>
          <w:sz w:val="40"/>
          <w:lang w:val="el-GR"/>
        </w:rPr>
      </w:pPr>
    </w:p>
    <w:p w14:paraId="050CC232" w14:textId="77777777" w:rsidR="002F31CB" w:rsidRDefault="002F31CB" w:rsidP="002F31CB">
      <w:pPr>
        <w:spacing w:after="120" w:line="360" w:lineRule="auto"/>
        <w:jc w:val="center"/>
        <w:rPr>
          <w:rFonts w:asciiTheme="majorHAnsi" w:hAnsiTheme="majorHAnsi" w:cs="Times New Roman"/>
          <w:b/>
          <w:sz w:val="40"/>
          <w:lang w:val="el-GR"/>
        </w:rPr>
      </w:pPr>
    </w:p>
    <w:p w14:paraId="0EC37DFD" w14:textId="77777777" w:rsidR="002F31CB" w:rsidRDefault="002F31CB" w:rsidP="002F31CB">
      <w:pPr>
        <w:spacing w:after="120" w:line="360" w:lineRule="auto"/>
        <w:jc w:val="center"/>
        <w:rPr>
          <w:rFonts w:asciiTheme="majorHAnsi" w:hAnsiTheme="majorHAnsi" w:cs="Times New Roman"/>
          <w:b/>
          <w:sz w:val="40"/>
          <w:lang w:val="el-GR"/>
        </w:rPr>
      </w:pPr>
    </w:p>
    <w:p w14:paraId="7CC51465" w14:textId="77777777" w:rsidR="002F31CB" w:rsidRDefault="002F31CB" w:rsidP="002F31CB">
      <w:pPr>
        <w:spacing w:after="120" w:line="360" w:lineRule="auto"/>
        <w:jc w:val="center"/>
        <w:rPr>
          <w:rFonts w:asciiTheme="majorHAnsi" w:hAnsiTheme="majorHAnsi" w:cs="Times New Roman"/>
          <w:b/>
          <w:sz w:val="40"/>
          <w:lang w:val="el-GR"/>
        </w:rPr>
      </w:pPr>
      <w:r>
        <w:rPr>
          <w:rFonts w:asciiTheme="majorHAnsi" w:hAnsiTheme="majorHAnsi" w:cs="Times New Roman"/>
          <w:b/>
          <w:sz w:val="40"/>
          <w:lang w:val="el-GR"/>
        </w:rPr>
        <w:t>Κατευθυντήριες οδηγίες</w:t>
      </w:r>
    </w:p>
    <w:p w14:paraId="2FAC5D74" w14:textId="76EA6AB2" w:rsidR="002F31CB" w:rsidRPr="00B228C5" w:rsidRDefault="002F31CB" w:rsidP="002F31CB">
      <w:pPr>
        <w:tabs>
          <w:tab w:val="left" w:pos="284"/>
          <w:tab w:val="left" w:pos="567"/>
        </w:tabs>
        <w:spacing w:after="120" w:line="360" w:lineRule="auto"/>
        <w:ind w:left="284"/>
        <w:jc w:val="center"/>
        <w:rPr>
          <w:rFonts w:asciiTheme="majorHAnsi" w:hAnsiTheme="majorHAnsi" w:cs="Times New Roman"/>
          <w:b/>
          <w:sz w:val="40"/>
          <w:lang w:val="el-GR"/>
        </w:rPr>
      </w:pPr>
      <w:r>
        <w:rPr>
          <w:rFonts w:asciiTheme="majorHAnsi" w:hAnsiTheme="majorHAnsi" w:cs="Times New Roman"/>
          <w:b/>
          <w:sz w:val="40"/>
          <w:lang w:val="el-GR"/>
        </w:rPr>
        <w:t>για τη θ</w:t>
      </w:r>
      <w:r w:rsidRPr="00B228C5">
        <w:rPr>
          <w:rFonts w:asciiTheme="majorHAnsi" w:hAnsiTheme="majorHAnsi" w:cs="Times New Roman"/>
          <w:b/>
          <w:sz w:val="40"/>
          <w:lang w:val="el-GR"/>
        </w:rPr>
        <w:t xml:space="preserve">εραπεία </w:t>
      </w:r>
      <w:r>
        <w:rPr>
          <w:rFonts w:asciiTheme="majorHAnsi" w:hAnsiTheme="majorHAnsi" w:cs="Times New Roman"/>
          <w:b/>
          <w:sz w:val="40"/>
          <w:lang w:val="el-GR"/>
        </w:rPr>
        <w:t xml:space="preserve">του                                              </w:t>
      </w:r>
      <w:r w:rsidRPr="00B228C5">
        <w:rPr>
          <w:rFonts w:asciiTheme="majorHAnsi" w:hAnsiTheme="majorHAnsi" w:cs="Times New Roman"/>
          <w:b/>
          <w:sz w:val="40"/>
          <w:lang w:val="el-GR"/>
        </w:rPr>
        <w:t xml:space="preserve">Συστηματικού </w:t>
      </w:r>
      <w:r>
        <w:rPr>
          <w:rFonts w:asciiTheme="majorHAnsi" w:hAnsiTheme="majorHAnsi" w:cs="Times New Roman"/>
          <w:b/>
          <w:sz w:val="40"/>
          <w:lang w:val="el-GR"/>
        </w:rPr>
        <w:t>Ερυθηματώδους Λύκου</w:t>
      </w:r>
      <w:r w:rsidRPr="00B228C5">
        <w:rPr>
          <w:rFonts w:asciiTheme="majorHAnsi" w:hAnsiTheme="majorHAnsi" w:cs="Times New Roman"/>
          <w:b/>
          <w:sz w:val="40"/>
          <w:lang w:val="el-GR"/>
        </w:rPr>
        <w:t xml:space="preserve"> </w:t>
      </w:r>
    </w:p>
    <w:p w14:paraId="028A013D" w14:textId="6981AB57" w:rsidR="002F31CB" w:rsidRPr="00B228C5" w:rsidRDefault="002F31CB" w:rsidP="002F31CB">
      <w:pPr>
        <w:tabs>
          <w:tab w:val="left" w:pos="284"/>
          <w:tab w:val="left" w:pos="567"/>
        </w:tabs>
        <w:spacing w:after="120" w:line="360" w:lineRule="auto"/>
        <w:ind w:left="284"/>
        <w:jc w:val="both"/>
        <w:rPr>
          <w:rFonts w:asciiTheme="majorHAnsi" w:hAnsiTheme="majorHAnsi" w:cs="Times New Roman"/>
          <w:sz w:val="32"/>
          <w:lang w:val="el-GR"/>
        </w:rPr>
      </w:pPr>
      <w:r>
        <w:rPr>
          <w:rFonts w:asciiTheme="majorHAnsi" w:hAnsiTheme="majorHAnsi" w:cs="Times New Roman"/>
          <w:lang w:val="el-GR"/>
        </w:rPr>
        <w:t xml:space="preserve">         </w:t>
      </w:r>
      <w:r>
        <w:rPr>
          <w:rFonts w:asciiTheme="majorHAnsi" w:hAnsiTheme="majorHAnsi" w:cs="Times New Roman"/>
          <w:lang w:val="el-GR"/>
        </w:rPr>
        <w:tab/>
      </w:r>
      <w:r>
        <w:rPr>
          <w:rFonts w:asciiTheme="majorHAnsi" w:hAnsiTheme="majorHAnsi" w:cs="Times New Roman"/>
          <w:lang w:val="el-GR"/>
        </w:rPr>
        <w:tab/>
      </w:r>
      <w:r>
        <w:rPr>
          <w:rFonts w:asciiTheme="majorHAnsi" w:hAnsiTheme="majorHAnsi" w:cs="Times New Roman"/>
          <w:lang w:val="el-GR"/>
        </w:rPr>
        <w:tab/>
      </w:r>
      <w:r>
        <w:rPr>
          <w:rFonts w:asciiTheme="majorHAnsi" w:hAnsiTheme="majorHAnsi" w:cs="Times New Roman"/>
          <w:lang w:val="el-GR"/>
        </w:rPr>
        <w:tab/>
        <w:t xml:space="preserve">      </w:t>
      </w:r>
      <w:r w:rsidR="00FB2F1A">
        <w:rPr>
          <w:rFonts w:asciiTheme="majorHAnsi" w:hAnsiTheme="majorHAnsi" w:cs="Times New Roman"/>
          <w:lang w:val="el-GR"/>
        </w:rPr>
        <w:t xml:space="preserve">    </w:t>
      </w:r>
      <w:r>
        <w:rPr>
          <w:rFonts w:asciiTheme="majorHAnsi" w:hAnsiTheme="majorHAnsi" w:cs="Times New Roman"/>
          <w:sz w:val="32"/>
          <w:lang w:val="el-GR"/>
        </w:rPr>
        <w:t>Μάρτιος 2015</w:t>
      </w:r>
    </w:p>
    <w:p w14:paraId="035E2953" w14:textId="77777777" w:rsidR="002F31CB" w:rsidRDefault="002F31CB" w:rsidP="002F31CB">
      <w:pPr>
        <w:tabs>
          <w:tab w:val="left" w:pos="284"/>
          <w:tab w:val="left" w:pos="567"/>
        </w:tabs>
        <w:spacing w:after="120" w:line="360" w:lineRule="auto"/>
        <w:ind w:left="284"/>
        <w:jc w:val="both"/>
        <w:rPr>
          <w:rFonts w:asciiTheme="majorHAnsi" w:hAnsiTheme="majorHAnsi" w:cs="Times New Roman"/>
          <w:lang w:val="el-GR"/>
        </w:rPr>
      </w:pPr>
    </w:p>
    <w:p w14:paraId="70BCD95C" w14:textId="77777777" w:rsidR="002F31CB" w:rsidRDefault="002F31CB" w:rsidP="002F31CB">
      <w:pPr>
        <w:tabs>
          <w:tab w:val="left" w:pos="284"/>
          <w:tab w:val="left" w:pos="567"/>
        </w:tabs>
        <w:spacing w:after="120" w:line="360" w:lineRule="auto"/>
        <w:ind w:left="284"/>
        <w:jc w:val="both"/>
        <w:rPr>
          <w:rFonts w:asciiTheme="majorHAnsi" w:hAnsiTheme="majorHAnsi" w:cs="Times New Roman"/>
          <w:lang w:val="el-GR"/>
        </w:rPr>
      </w:pPr>
    </w:p>
    <w:p w14:paraId="2E970D63" w14:textId="77777777" w:rsidR="00FB2F1A" w:rsidRDefault="00FB2F1A" w:rsidP="002F31CB">
      <w:pPr>
        <w:tabs>
          <w:tab w:val="left" w:pos="284"/>
          <w:tab w:val="left" w:pos="567"/>
        </w:tabs>
        <w:spacing w:after="120" w:line="360" w:lineRule="auto"/>
        <w:ind w:left="284"/>
        <w:jc w:val="both"/>
        <w:rPr>
          <w:rFonts w:asciiTheme="majorHAnsi" w:hAnsiTheme="majorHAnsi" w:cs="Times New Roman"/>
          <w:lang w:val="el-GR"/>
        </w:rPr>
      </w:pPr>
    </w:p>
    <w:p w14:paraId="73E94E34" w14:textId="77777777" w:rsidR="00FB2F1A" w:rsidRDefault="00FB2F1A" w:rsidP="002F31CB">
      <w:pPr>
        <w:tabs>
          <w:tab w:val="left" w:pos="284"/>
          <w:tab w:val="left" w:pos="567"/>
        </w:tabs>
        <w:spacing w:after="120" w:line="360" w:lineRule="auto"/>
        <w:ind w:left="284"/>
        <w:jc w:val="both"/>
        <w:rPr>
          <w:rFonts w:asciiTheme="majorHAnsi" w:hAnsiTheme="majorHAnsi" w:cs="Times New Roman"/>
          <w:lang w:val="el-GR"/>
        </w:rPr>
      </w:pPr>
    </w:p>
    <w:p w14:paraId="2830D254" w14:textId="77777777" w:rsidR="002F31CB" w:rsidRDefault="002F31CB" w:rsidP="002F31CB">
      <w:pPr>
        <w:tabs>
          <w:tab w:val="left" w:pos="284"/>
          <w:tab w:val="left" w:pos="567"/>
        </w:tabs>
        <w:spacing w:after="120" w:line="360" w:lineRule="auto"/>
        <w:ind w:left="284"/>
        <w:jc w:val="both"/>
        <w:rPr>
          <w:rFonts w:asciiTheme="majorHAnsi" w:hAnsiTheme="majorHAnsi" w:cs="Times New Roman"/>
          <w:u w:val="single"/>
          <w:lang w:val="el-GR"/>
        </w:rPr>
      </w:pPr>
      <w:r w:rsidRPr="00B228C5">
        <w:rPr>
          <w:rFonts w:asciiTheme="majorHAnsi" w:hAnsiTheme="majorHAnsi" w:cs="Times New Roman"/>
          <w:u w:val="single"/>
          <w:lang w:val="el-GR"/>
        </w:rPr>
        <w:t>Συγγραφείς</w:t>
      </w:r>
      <w:r>
        <w:rPr>
          <w:rFonts w:asciiTheme="majorHAnsi" w:hAnsiTheme="majorHAnsi" w:cs="Times New Roman"/>
          <w:u w:val="single"/>
          <w:lang w:val="el-GR"/>
        </w:rPr>
        <w:t>:</w:t>
      </w:r>
    </w:p>
    <w:p w14:paraId="209F1D76" w14:textId="77777777" w:rsidR="002F31CB" w:rsidRPr="002F31CB" w:rsidRDefault="002F31CB" w:rsidP="002F31CB">
      <w:pPr>
        <w:tabs>
          <w:tab w:val="left" w:pos="284"/>
          <w:tab w:val="left" w:pos="567"/>
        </w:tabs>
        <w:spacing w:after="120" w:line="360" w:lineRule="auto"/>
        <w:ind w:left="284"/>
        <w:jc w:val="both"/>
        <w:rPr>
          <w:rFonts w:asciiTheme="majorHAnsi" w:hAnsiTheme="majorHAnsi" w:cs="Times New Roman"/>
          <w:i/>
          <w:lang w:val="el-GR"/>
        </w:rPr>
      </w:pPr>
      <w:r w:rsidRPr="002F31CB">
        <w:rPr>
          <w:rFonts w:asciiTheme="majorHAnsi" w:hAnsiTheme="majorHAnsi" w:cs="Times New Roman"/>
          <w:i/>
          <w:lang w:val="el-GR"/>
        </w:rPr>
        <w:t>Αντώνης Φανουριάκης</w:t>
      </w:r>
      <w:r w:rsidRPr="002F31CB">
        <w:rPr>
          <w:rFonts w:asciiTheme="majorHAnsi" w:hAnsiTheme="majorHAnsi" w:cs="Times New Roman"/>
          <w:i/>
          <w:vertAlign w:val="superscript"/>
          <w:lang w:val="el-GR"/>
        </w:rPr>
        <w:t>1</w:t>
      </w:r>
      <w:r w:rsidRPr="002F31CB">
        <w:rPr>
          <w:rFonts w:asciiTheme="majorHAnsi" w:hAnsiTheme="majorHAnsi" w:cs="Times New Roman"/>
          <w:i/>
          <w:lang w:val="el-GR"/>
        </w:rPr>
        <w:t>, Δημήτριος Μπούμπας</w:t>
      </w:r>
      <w:r w:rsidRPr="002F31CB">
        <w:rPr>
          <w:rFonts w:asciiTheme="majorHAnsi" w:hAnsiTheme="majorHAnsi" w:cs="Times New Roman"/>
          <w:i/>
          <w:vertAlign w:val="superscript"/>
          <w:lang w:val="el-GR"/>
        </w:rPr>
        <w:t>2</w:t>
      </w:r>
      <w:r w:rsidRPr="002F31CB">
        <w:rPr>
          <w:rFonts w:asciiTheme="majorHAnsi" w:hAnsiTheme="majorHAnsi" w:cs="Times New Roman"/>
          <w:i/>
          <w:lang w:val="el-GR"/>
        </w:rPr>
        <w:t>, Γεώργιος Μπερτσιάς</w:t>
      </w:r>
      <w:r w:rsidRPr="002F31CB">
        <w:rPr>
          <w:rFonts w:asciiTheme="majorHAnsi" w:hAnsiTheme="majorHAnsi" w:cs="Times New Roman"/>
          <w:i/>
          <w:vertAlign w:val="superscript"/>
          <w:lang w:val="el-GR"/>
        </w:rPr>
        <w:t>3</w:t>
      </w:r>
    </w:p>
    <w:p w14:paraId="3114947C" w14:textId="77777777" w:rsidR="002F31CB" w:rsidRPr="002F31CB" w:rsidRDefault="002F31CB" w:rsidP="002F31CB">
      <w:pPr>
        <w:tabs>
          <w:tab w:val="left" w:pos="284"/>
          <w:tab w:val="left" w:pos="567"/>
        </w:tabs>
        <w:spacing w:after="120"/>
        <w:ind w:left="284"/>
        <w:jc w:val="both"/>
        <w:rPr>
          <w:rFonts w:asciiTheme="majorHAnsi" w:hAnsiTheme="majorHAnsi" w:cs="Times New Roman"/>
          <w:lang w:val="el-GR"/>
        </w:rPr>
      </w:pPr>
      <w:r w:rsidRPr="002F31CB">
        <w:rPr>
          <w:rFonts w:asciiTheme="majorHAnsi" w:hAnsiTheme="majorHAnsi" w:cs="Times New Roman"/>
          <w:vertAlign w:val="superscript"/>
          <w:lang w:val="el-GR"/>
        </w:rPr>
        <w:t xml:space="preserve">1 </w:t>
      </w:r>
      <w:r w:rsidRPr="002F31CB">
        <w:rPr>
          <w:rFonts w:asciiTheme="majorHAnsi" w:hAnsiTheme="majorHAnsi" w:cs="Times New Roman"/>
          <w:lang w:val="el-GR"/>
        </w:rPr>
        <w:t>Ρευματολόγος, Κλινική Ρευματολογίας, Κλινικής Ανοσολογίας και Αλλεργίας, Πανεπιστημιακό Γενικό Νοσοκομείο Ηρακλείου</w:t>
      </w:r>
    </w:p>
    <w:p w14:paraId="7D912EB0" w14:textId="77777777" w:rsidR="002F31CB" w:rsidRPr="002F31CB" w:rsidRDefault="002F31CB" w:rsidP="002F31CB">
      <w:pPr>
        <w:tabs>
          <w:tab w:val="left" w:pos="284"/>
          <w:tab w:val="left" w:pos="567"/>
        </w:tabs>
        <w:spacing w:after="120"/>
        <w:ind w:left="284"/>
        <w:jc w:val="both"/>
        <w:rPr>
          <w:rFonts w:asciiTheme="majorHAnsi" w:hAnsiTheme="majorHAnsi" w:cs="Times New Roman"/>
          <w:lang w:val="el-GR"/>
        </w:rPr>
      </w:pPr>
      <w:r w:rsidRPr="002F31CB">
        <w:rPr>
          <w:rFonts w:asciiTheme="majorHAnsi" w:hAnsiTheme="majorHAnsi" w:cs="Times New Roman"/>
          <w:vertAlign w:val="superscript"/>
          <w:lang w:val="el-GR"/>
        </w:rPr>
        <w:t>2</w:t>
      </w:r>
      <w:r w:rsidRPr="002F31CB">
        <w:rPr>
          <w:rFonts w:asciiTheme="majorHAnsi" w:hAnsiTheme="majorHAnsi" w:cs="Times New Roman"/>
          <w:lang w:val="el-GR"/>
        </w:rPr>
        <w:t xml:space="preserve"> Καθηγητής Παθολογίας, Δ΄ Πανεπιστημιακή Παθολογική Κλινική, Νοσοκομείο “Αττικόν”, Ιατρική Σχολή ΕΚΠΑ</w:t>
      </w:r>
    </w:p>
    <w:p w14:paraId="45B90761" w14:textId="77777777" w:rsidR="002F31CB" w:rsidRPr="002F31CB" w:rsidRDefault="002F31CB" w:rsidP="002F31CB">
      <w:pPr>
        <w:tabs>
          <w:tab w:val="left" w:pos="284"/>
          <w:tab w:val="left" w:pos="567"/>
        </w:tabs>
        <w:spacing w:after="120"/>
        <w:ind w:left="284"/>
        <w:jc w:val="both"/>
        <w:rPr>
          <w:rFonts w:asciiTheme="majorHAnsi" w:hAnsiTheme="majorHAnsi" w:cs="Times New Roman"/>
          <w:lang w:val="el-GR"/>
        </w:rPr>
      </w:pPr>
      <w:r w:rsidRPr="002F31CB">
        <w:rPr>
          <w:rFonts w:asciiTheme="majorHAnsi" w:hAnsiTheme="majorHAnsi" w:cs="Times New Roman"/>
          <w:vertAlign w:val="superscript"/>
          <w:lang w:val="el-GR"/>
        </w:rPr>
        <w:t xml:space="preserve">3 </w:t>
      </w:r>
      <w:r w:rsidRPr="002F31CB">
        <w:rPr>
          <w:rFonts w:asciiTheme="majorHAnsi" w:hAnsiTheme="majorHAnsi" w:cs="Times New Roman"/>
          <w:lang w:val="el-GR"/>
        </w:rPr>
        <w:t>Λέκτορας Ρευματολογίας-Ανοσολογίας, Κλινική Ρευματολογίας, Κλινικής Ανοσολογίας και Αλλεργίας, Πανεπιστημιακό Γενικό Νοσοκομείο Ηρακλείου</w:t>
      </w:r>
    </w:p>
    <w:p w14:paraId="69E27490" w14:textId="77777777" w:rsidR="002F31CB" w:rsidRPr="002F31CB" w:rsidRDefault="002F31CB" w:rsidP="002F31CB">
      <w:pPr>
        <w:tabs>
          <w:tab w:val="left" w:pos="567"/>
        </w:tabs>
        <w:spacing w:after="120" w:line="360" w:lineRule="auto"/>
        <w:ind w:left="284" w:right="953"/>
        <w:jc w:val="both"/>
        <w:rPr>
          <w:rFonts w:asciiTheme="majorHAnsi" w:hAnsiTheme="majorHAnsi" w:cs="Times New Roman"/>
          <w:b/>
          <w:lang w:val="el-GR"/>
        </w:rPr>
      </w:pPr>
      <w:r w:rsidRPr="002F31CB">
        <w:rPr>
          <w:rFonts w:asciiTheme="majorHAnsi" w:hAnsiTheme="majorHAnsi" w:cs="Times New Roman"/>
          <w:b/>
          <w:lang w:val="el-GR"/>
        </w:rPr>
        <w:lastRenderedPageBreak/>
        <w:t>Περίληψη</w:t>
      </w:r>
    </w:p>
    <w:p w14:paraId="2F9E9CB8" w14:textId="77777777" w:rsidR="002F31CB" w:rsidRPr="002F31CB" w:rsidRDefault="002F31CB" w:rsidP="002F31CB">
      <w:pPr>
        <w:tabs>
          <w:tab w:val="left" w:pos="567"/>
        </w:tabs>
        <w:spacing w:after="120" w:line="360" w:lineRule="auto"/>
        <w:ind w:left="284" w:right="953"/>
        <w:jc w:val="both"/>
        <w:rPr>
          <w:rFonts w:asciiTheme="majorHAnsi" w:hAnsiTheme="majorHAnsi" w:cs="Times New Roman"/>
          <w:lang w:val="el-GR"/>
        </w:rPr>
      </w:pPr>
      <w:r w:rsidRPr="002F31CB">
        <w:rPr>
          <w:rFonts w:asciiTheme="majorHAnsi" w:hAnsiTheme="majorHAnsi" w:cs="Times New Roman"/>
          <w:lang w:val="el-GR"/>
        </w:rPr>
        <w:t xml:space="preserve">Ο συστηματικός ερυθηματώδης λύκος (ΣΕΛ) είναι μια σύνθετη πολυσυστηματική αυτοάνοση νόσος με ποικιλία κλινικών εκδηλώσεων. Προς διευκόλυνση της διαχείρισης των ασθενών με ΣΕΛ, στην παρούσα εργασία συνοψίζουμε τη θεραπεία της νόσου επί τη βάσει των επίσημων κατευθυντήριων οδηγιών και της βιβλιογραφίας και διαμορφώνουμε πρακτικούς θεραπευτικούς αλγόριθμους. Έγινε σύνθεση των κατευθυντήριων οδηγιών της Ευρωπαϊκής και Αμερικανικής Εταιρίας Ρευματολογίας και ανάλυση της πρόσφατης βιβλιογραφίας για τη θεραπεία του ΣΕΛ. </w:t>
      </w:r>
    </w:p>
    <w:p w14:paraId="72EF019A" w14:textId="0A558850" w:rsidR="002F31CB" w:rsidRPr="002F31CB" w:rsidRDefault="002F31CB" w:rsidP="002F31CB">
      <w:pPr>
        <w:tabs>
          <w:tab w:val="left" w:pos="567"/>
        </w:tabs>
        <w:spacing w:after="120" w:line="360" w:lineRule="auto"/>
        <w:ind w:left="284" w:right="953"/>
        <w:jc w:val="both"/>
        <w:rPr>
          <w:rFonts w:asciiTheme="majorHAnsi" w:hAnsiTheme="majorHAnsi" w:cs="Times New Roman"/>
          <w:lang w:val="el-GR"/>
        </w:rPr>
      </w:pPr>
      <w:r w:rsidRPr="002F31CB">
        <w:rPr>
          <w:rFonts w:asciiTheme="majorHAnsi" w:hAnsiTheme="majorHAnsi" w:cs="Times New Roman"/>
          <w:lang w:val="el-GR"/>
        </w:rPr>
        <w:t>Η χορήγηση υδροξυχλωροκίνης συνιστάται σε όλους τους ασθενείς με ΣΕΛ εφόσον δε συντρέχουν αντενδείξεις ή ανεπιθύμητες ενέργειες. Στον εξω-νεφρικό ΣΕΛ, η αρχική θεραπεία περιλαμβάνει κορτικοστεροειδή σε δοσολογία ανάλογη της βαρύτητας των εκδηλώσεων, σε συνδυασμό με ανοσοτροποποιητικό/ανοσοκατασταλτικό παράγοντα (μεθοτρεξάτη ή αζαθειοπρίνη σε μετρίως σοβαρή, αζαθειοπρίνη ή κυκλοφωσφαμίδη σε σοβαρή/απειλητική για τη ζωή νόσο). Στη μακροχρόνια θεραπεία της νόσου, η αποδεκτή ημερήσια δοσολογία κορτικοστεροειδών είναι &lt;7.5 mg (ισοδύναμο πρεδνιζόνης) καθώς υψηλότερες δόσεις σχετίζονται με αυξημένο κίνδυνο ανάπτυξης βλάβης οργάνων, νοσηρότητας και θνησιμότητας. Σε ανθεκτική, ή υπολειπόμενη (μερική κλινική ανταπόκριση), ή υποτροπιάζουσα νόσο, μπορεί να χορηγηθεί διαφορετικός από τον αρχικό ανοσοκατασταλτικός παράγοντας (συμπεριλαμβανομένου του μυκοφαινολικού), belimumab, ή rituximab. Η θεραπεία της υπερπλαστικής ή μεμβρανώδους νεφρίτιδας ΣΕΛ περιλαμβάνει ένα αρχικό στάδιο ανοσοκατασταλτικής θεραπείας (επαγωγής της ύφεσης) με ενδοφλέβια κυκλοφωσφαμίδη ή μυκοφαινολικό. Υψηλή δόση ενδοφλέβιας κυκλοφωσφαμίδης συνιστάται σε σοβαρή νόσο. Η μακροχρόνια θεραπεία συντήρησης της ύφεσης γίνεται με αζαθειοπρίνη ή μυκοφαινολικό. Απαιτείται μέριμνα για την πρόληψη και αντιμετώπιση των συννοσηροτήτων, ιδίως λοιμώξεων και καρδιαγγειακών νοσημάτων.</w:t>
      </w:r>
    </w:p>
    <w:p w14:paraId="278D116E" w14:textId="77777777" w:rsidR="002F31CB" w:rsidRDefault="002F31CB" w:rsidP="002F31CB">
      <w:pPr>
        <w:tabs>
          <w:tab w:val="left" w:pos="284"/>
          <w:tab w:val="left" w:pos="567"/>
        </w:tabs>
        <w:spacing w:after="120" w:line="360" w:lineRule="auto"/>
        <w:ind w:left="284" w:right="953"/>
        <w:jc w:val="both"/>
        <w:rPr>
          <w:rFonts w:asciiTheme="majorHAnsi" w:hAnsiTheme="majorHAnsi" w:cs="Times New Roman"/>
          <w:b/>
          <w:sz w:val="28"/>
          <w:lang w:val="el-GR"/>
        </w:rPr>
      </w:pPr>
    </w:p>
    <w:p w14:paraId="0E5B2488" w14:textId="77777777" w:rsidR="002F31CB" w:rsidRDefault="002F31CB" w:rsidP="002F31CB">
      <w:pPr>
        <w:tabs>
          <w:tab w:val="left" w:pos="284"/>
          <w:tab w:val="left" w:pos="567"/>
        </w:tabs>
        <w:spacing w:after="120" w:line="360" w:lineRule="auto"/>
        <w:ind w:left="284" w:right="953"/>
        <w:jc w:val="both"/>
        <w:rPr>
          <w:rFonts w:asciiTheme="majorHAnsi" w:hAnsiTheme="majorHAnsi" w:cs="Times New Roman"/>
          <w:b/>
          <w:sz w:val="28"/>
          <w:lang w:val="el-GR"/>
        </w:rPr>
      </w:pPr>
    </w:p>
    <w:p w14:paraId="5995231C" w14:textId="77777777" w:rsidR="002F31CB" w:rsidRPr="002F31CB" w:rsidRDefault="002F31CB" w:rsidP="002F31CB">
      <w:pPr>
        <w:tabs>
          <w:tab w:val="left" w:pos="284"/>
          <w:tab w:val="left" w:pos="567"/>
        </w:tabs>
        <w:spacing w:after="120" w:line="360" w:lineRule="auto"/>
        <w:ind w:left="284" w:right="953"/>
        <w:jc w:val="both"/>
        <w:rPr>
          <w:rFonts w:asciiTheme="majorHAnsi" w:hAnsiTheme="majorHAnsi" w:cs="Times New Roman"/>
          <w:b/>
          <w:sz w:val="28"/>
          <w:lang w:val="el-GR"/>
        </w:rPr>
      </w:pPr>
    </w:p>
    <w:p w14:paraId="496391DF" w14:textId="4CF964A1" w:rsidR="002F31CB" w:rsidRPr="002F31CB" w:rsidRDefault="002F31CB" w:rsidP="002F31CB">
      <w:pPr>
        <w:tabs>
          <w:tab w:val="left" w:pos="284"/>
          <w:tab w:val="left" w:pos="567"/>
        </w:tabs>
        <w:spacing w:after="120" w:line="360" w:lineRule="auto"/>
        <w:ind w:left="284"/>
        <w:jc w:val="both"/>
        <w:rPr>
          <w:rFonts w:asciiTheme="majorHAnsi" w:hAnsiTheme="majorHAnsi" w:cs="Times New Roman"/>
          <w:b/>
          <w:lang w:val="el-GR"/>
        </w:rPr>
      </w:pPr>
      <w:r w:rsidRPr="002F31CB">
        <w:rPr>
          <w:rFonts w:asciiTheme="majorHAnsi" w:hAnsiTheme="majorHAnsi" w:cs="Times New Roman"/>
          <w:b/>
          <w:lang w:val="el-GR"/>
        </w:rPr>
        <w:t>Εισαγωγή</w:t>
      </w:r>
    </w:p>
    <w:p w14:paraId="589D99B1" w14:textId="77777777" w:rsidR="006F4BC6" w:rsidRPr="002F31CB" w:rsidRDefault="00E65CB3" w:rsidP="002F31CB">
      <w:pPr>
        <w:tabs>
          <w:tab w:val="left" w:pos="284"/>
          <w:tab w:val="left" w:pos="567"/>
        </w:tabs>
        <w:spacing w:after="120" w:line="360" w:lineRule="auto"/>
        <w:ind w:left="284" w:right="1093"/>
        <w:jc w:val="both"/>
        <w:rPr>
          <w:rFonts w:asciiTheme="majorHAnsi" w:hAnsiTheme="majorHAnsi" w:cs="Times New Roman"/>
          <w:lang w:val="el-GR"/>
        </w:rPr>
      </w:pPr>
      <w:r w:rsidRPr="002F31CB">
        <w:rPr>
          <w:rFonts w:asciiTheme="majorHAnsi" w:hAnsiTheme="majorHAnsi" w:cs="Times New Roman"/>
          <w:lang w:val="el-GR"/>
        </w:rPr>
        <w:t xml:space="preserve">Ο Συστηματικός Ερυθηματώδης Λύκος (ΣΕΛ) είναι το πρωτότυπο συστηματικής αυτοάνοσης νόσου με φλεγμονώδη προσβολή ποικίλλων οργάνων και εναλλασσόμενες περιόδους έξαρσης και ύφεσης. </w:t>
      </w:r>
      <w:r w:rsidR="006F4BC6" w:rsidRPr="002F31CB">
        <w:rPr>
          <w:rFonts w:asciiTheme="majorHAnsi" w:hAnsiTheme="majorHAnsi" w:cs="Times New Roman"/>
          <w:lang w:val="el-GR"/>
        </w:rPr>
        <w:t xml:space="preserve">Για την παρακολούθηση των ασθενών με ΣΕΛ, συνιστάται η χρήση </w:t>
      </w:r>
      <w:r w:rsidR="004A3EBC" w:rsidRPr="002F31CB">
        <w:rPr>
          <w:rFonts w:asciiTheme="majorHAnsi" w:hAnsiTheme="majorHAnsi" w:cs="Times New Roman"/>
          <w:lang w:val="el-GR"/>
        </w:rPr>
        <w:t>επικυρωμένων (</w:t>
      </w:r>
      <w:r w:rsidR="004A3EBC" w:rsidRPr="002F31CB">
        <w:rPr>
          <w:rFonts w:asciiTheme="majorHAnsi" w:hAnsiTheme="majorHAnsi" w:cs="Times New Roman"/>
        </w:rPr>
        <w:t>validated</w:t>
      </w:r>
      <w:r w:rsidR="004A3EBC" w:rsidRPr="002F31CB">
        <w:rPr>
          <w:rFonts w:asciiTheme="majorHAnsi" w:hAnsiTheme="majorHAnsi" w:cs="Times New Roman"/>
          <w:lang w:val="el-GR"/>
        </w:rPr>
        <w:t>) δεικτών ενεργότητας της νόσου (</w:t>
      </w:r>
      <w:r w:rsidR="004A3EBC" w:rsidRPr="002F31CB">
        <w:rPr>
          <w:rFonts w:asciiTheme="majorHAnsi" w:hAnsiTheme="majorHAnsi" w:cs="Times New Roman"/>
        </w:rPr>
        <w:t>disease</w:t>
      </w:r>
      <w:r w:rsidR="004A3EBC" w:rsidRPr="002F31CB">
        <w:rPr>
          <w:rFonts w:asciiTheme="majorHAnsi" w:hAnsiTheme="majorHAnsi" w:cs="Times New Roman"/>
          <w:lang w:val="el-GR"/>
        </w:rPr>
        <w:t xml:space="preserve"> </w:t>
      </w:r>
      <w:r w:rsidR="004A3EBC" w:rsidRPr="002F31CB">
        <w:rPr>
          <w:rFonts w:asciiTheme="majorHAnsi" w:hAnsiTheme="majorHAnsi" w:cs="Times New Roman"/>
        </w:rPr>
        <w:t>activity</w:t>
      </w:r>
      <w:r w:rsidR="004A3EBC" w:rsidRPr="002F31CB">
        <w:rPr>
          <w:rFonts w:asciiTheme="majorHAnsi" w:hAnsiTheme="majorHAnsi" w:cs="Times New Roman"/>
          <w:lang w:val="el-GR"/>
        </w:rPr>
        <w:t xml:space="preserve"> </w:t>
      </w:r>
      <w:r w:rsidR="004A3EBC" w:rsidRPr="002F31CB">
        <w:rPr>
          <w:rFonts w:asciiTheme="majorHAnsi" w:hAnsiTheme="majorHAnsi" w:cs="Times New Roman"/>
        </w:rPr>
        <w:t>indices</w:t>
      </w:r>
      <w:r w:rsidR="004A3EBC" w:rsidRPr="002F31CB">
        <w:rPr>
          <w:rFonts w:asciiTheme="majorHAnsi" w:hAnsiTheme="majorHAnsi" w:cs="Times New Roman"/>
          <w:lang w:val="el-GR"/>
        </w:rPr>
        <w:t xml:space="preserve">) όπως το </w:t>
      </w:r>
      <w:r w:rsidR="004A3EBC" w:rsidRPr="002F31CB">
        <w:rPr>
          <w:rFonts w:asciiTheme="majorHAnsi" w:hAnsiTheme="majorHAnsi" w:cs="Times New Roman"/>
        </w:rPr>
        <w:t>SELENA</w:t>
      </w:r>
      <w:r w:rsidR="004A3EBC" w:rsidRPr="002F31CB">
        <w:rPr>
          <w:rFonts w:asciiTheme="majorHAnsi" w:hAnsiTheme="majorHAnsi" w:cs="Times New Roman"/>
          <w:lang w:val="el-GR"/>
        </w:rPr>
        <w:t>-</w:t>
      </w:r>
      <w:r w:rsidR="004A3EBC" w:rsidRPr="002F31CB">
        <w:rPr>
          <w:rFonts w:asciiTheme="majorHAnsi" w:hAnsiTheme="majorHAnsi" w:cs="Times New Roman"/>
        </w:rPr>
        <w:t>SLEDAI</w:t>
      </w:r>
      <w:r w:rsidR="004A3EBC" w:rsidRPr="002F31CB">
        <w:rPr>
          <w:rFonts w:asciiTheme="majorHAnsi" w:hAnsiTheme="majorHAnsi" w:cs="Times New Roman"/>
          <w:lang w:val="el-GR"/>
        </w:rPr>
        <w:t xml:space="preserve">, </w:t>
      </w:r>
      <w:r w:rsidR="004A3EBC" w:rsidRPr="002F31CB">
        <w:rPr>
          <w:rFonts w:asciiTheme="majorHAnsi" w:hAnsiTheme="majorHAnsi" w:cs="Times New Roman"/>
        </w:rPr>
        <w:t>SLEDAI</w:t>
      </w:r>
      <w:r w:rsidR="004A3EBC" w:rsidRPr="002F31CB">
        <w:rPr>
          <w:rFonts w:asciiTheme="majorHAnsi" w:hAnsiTheme="majorHAnsi" w:cs="Times New Roman"/>
          <w:lang w:val="el-GR"/>
        </w:rPr>
        <w:t>-2</w:t>
      </w:r>
      <w:r w:rsidR="004A3EBC" w:rsidRPr="002F31CB">
        <w:rPr>
          <w:rFonts w:asciiTheme="majorHAnsi" w:hAnsiTheme="majorHAnsi" w:cs="Times New Roman"/>
        </w:rPr>
        <w:t>K</w:t>
      </w:r>
      <w:r w:rsidR="004A3EBC" w:rsidRPr="002F31CB">
        <w:rPr>
          <w:rFonts w:asciiTheme="majorHAnsi" w:hAnsiTheme="majorHAnsi" w:cs="Times New Roman"/>
          <w:lang w:val="el-GR"/>
        </w:rPr>
        <w:t xml:space="preserve">, </w:t>
      </w:r>
      <w:r w:rsidR="004A3EBC" w:rsidRPr="002F31CB">
        <w:rPr>
          <w:rFonts w:asciiTheme="majorHAnsi" w:hAnsiTheme="majorHAnsi" w:cs="Times New Roman"/>
        </w:rPr>
        <w:t>ECLAM</w:t>
      </w:r>
      <w:r w:rsidR="004A3EBC" w:rsidRPr="002F31CB">
        <w:rPr>
          <w:rFonts w:asciiTheme="majorHAnsi" w:hAnsiTheme="majorHAnsi" w:cs="Times New Roman"/>
          <w:lang w:val="el-GR"/>
        </w:rPr>
        <w:t xml:space="preserve">, </w:t>
      </w:r>
      <w:r w:rsidR="004A3EBC" w:rsidRPr="002F31CB">
        <w:rPr>
          <w:rFonts w:asciiTheme="majorHAnsi" w:hAnsiTheme="majorHAnsi" w:cs="Times New Roman"/>
        </w:rPr>
        <w:t>SLAM</w:t>
      </w:r>
      <w:r w:rsidR="004A3EBC" w:rsidRPr="002F31CB">
        <w:rPr>
          <w:rFonts w:asciiTheme="majorHAnsi" w:hAnsiTheme="majorHAnsi" w:cs="Times New Roman"/>
          <w:lang w:val="el-GR"/>
        </w:rPr>
        <w:t xml:space="preserve"> και </w:t>
      </w:r>
      <w:r w:rsidR="004A3EBC" w:rsidRPr="002F31CB">
        <w:rPr>
          <w:rFonts w:asciiTheme="majorHAnsi" w:hAnsiTheme="majorHAnsi" w:cs="Times New Roman"/>
        </w:rPr>
        <w:t>BILAG</w:t>
      </w:r>
      <w:r w:rsidR="004A3EBC" w:rsidRPr="002F31CB">
        <w:rPr>
          <w:rFonts w:asciiTheme="majorHAnsi" w:hAnsiTheme="majorHAnsi" w:cs="Times New Roman"/>
          <w:lang w:val="el-GR"/>
        </w:rPr>
        <w:t xml:space="preserve">-2004. </w:t>
      </w:r>
    </w:p>
    <w:p w14:paraId="311DF930" w14:textId="77777777" w:rsidR="005353FD" w:rsidRPr="002F31CB" w:rsidRDefault="005353FD" w:rsidP="002F31CB">
      <w:pPr>
        <w:tabs>
          <w:tab w:val="left" w:pos="284"/>
          <w:tab w:val="left" w:pos="567"/>
        </w:tabs>
        <w:spacing w:after="120" w:line="360" w:lineRule="auto"/>
        <w:ind w:left="284" w:right="1093"/>
        <w:jc w:val="both"/>
        <w:rPr>
          <w:rFonts w:asciiTheme="majorHAnsi" w:hAnsiTheme="majorHAnsi" w:cs="Times New Roman"/>
          <w:lang w:val="el-GR"/>
        </w:rPr>
      </w:pPr>
      <w:r w:rsidRPr="002F31CB">
        <w:rPr>
          <w:rFonts w:asciiTheme="majorHAnsi" w:hAnsiTheme="majorHAnsi" w:cs="Times New Roman"/>
          <w:lang w:val="el-GR"/>
        </w:rPr>
        <w:t xml:space="preserve">Στόχος της θεραπείας είναι να προληφθεί η ανάπτυξη μη-αναστρέψιμης δυσλειτουργίας (βλάβης) </w:t>
      </w:r>
      <w:r w:rsidR="0067322E" w:rsidRPr="002F31CB">
        <w:rPr>
          <w:rFonts w:asciiTheme="majorHAnsi" w:hAnsiTheme="majorHAnsi" w:cs="Times New Roman"/>
          <w:lang w:val="el-GR"/>
        </w:rPr>
        <w:t xml:space="preserve">των </w:t>
      </w:r>
      <w:r w:rsidRPr="002F31CB">
        <w:rPr>
          <w:rFonts w:asciiTheme="majorHAnsi" w:hAnsiTheme="majorHAnsi" w:cs="Times New Roman"/>
          <w:lang w:val="el-GR"/>
        </w:rPr>
        <w:t>οργάνων μέσω</w:t>
      </w:r>
      <w:r w:rsidR="007B6787" w:rsidRPr="002F31CB">
        <w:rPr>
          <w:rFonts w:asciiTheme="majorHAnsi" w:hAnsiTheme="majorHAnsi" w:cs="Times New Roman"/>
          <w:lang w:val="el-GR"/>
        </w:rPr>
        <w:t>: α)</w:t>
      </w:r>
      <w:r w:rsidRPr="002F31CB">
        <w:rPr>
          <w:rFonts w:asciiTheme="majorHAnsi" w:hAnsiTheme="majorHAnsi" w:cs="Times New Roman"/>
          <w:lang w:val="el-GR"/>
        </w:rPr>
        <w:t xml:space="preserve"> </w:t>
      </w:r>
      <w:r w:rsidR="007B6787" w:rsidRPr="002F31CB">
        <w:rPr>
          <w:rFonts w:asciiTheme="majorHAnsi" w:hAnsiTheme="majorHAnsi" w:cs="Times New Roman"/>
          <w:lang w:val="el-GR"/>
        </w:rPr>
        <w:t xml:space="preserve">του </w:t>
      </w:r>
      <w:r w:rsidRPr="002F31CB">
        <w:rPr>
          <w:rFonts w:asciiTheme="majorHAnsi" w:hAnsiTheme="majorHAnsi" w:cs="Times New Roman"/>
          <w:lang w:val="el-GR"/>
        </w:rPr>
        <w:t xml:space="preserve">ελέγχου της φλεγμονής (ενεργότητα), </w:t>
      </w:r>
      <w:r w:rsidR="007B6787" w:rsidRPr="002F31CB">
        <w:rPr>
          <w:rFonts w:asciiTheme="majorHAnsi" w:hAnsiTheme="majorHAnsi" w:cs="Times New Roman"/>
          <w:lang w:val="el-GR"/>
        </w:rPr>
        <w:t xml:space="preserve">β) της πρόληψης των υποτροπών της νόσου, γ) του </w:t>
      </w:r>
      <w:r w:rsidRPr="002F31CB">
        <w:rPr>
          <w:rFonts w:asciiTheme="majorHAnsi" w:hAnsiTheme="majorHAnsi" w:cs="Times New Roman"/>
          <w:lang w:val="el-GR"/>
        </w:rPr>
        <w:t>περιορισμού της τοξικότητας των χορηγούμενων θεραπειών (ιδίως από τ</w:t>
      </w:r>
      <w:r w:rsidR="0067322E" w:rsidRPr="002F31CB">
        <w:rPr>
          <w:rFonts w:asciiTheme="majorHAnsi" w:hAnsiTheme="majorHAnsi" w:cs="Times New Roman"/>
          <w:lang w:val="el-GR"/>
        </w:rPr>
        <w:t>η μακροχρόνια έκθεση σε</w:t>
      </w:r>
      <w:r w:rsidRPr="002F31CB">
        <w:rPr>
          <w:rFonts w:asciiTheme="majorHAnsi" w:hAnsiTheme="majorHAnsi" w:cs="Times New Roman"/>
          <w:lang w:val="el-GR"/>
        </w:rPr>
        <w:t xml:space="preserve"> γλυκοκορτικοειδή) και</w:t>
      </w:r>
      <w:r w:rsidR="007B6787" w:rsidRPr="002F31CB">
        <w:rPr>
          <w:rFonts w:asciiTheme="majorHAnsi" w:hAnsiTheme="majorHAnsi" w:cs="Times New Roman"/>
          <w:lang w:val="el-GR"/>
        </w:rPr>
        <w:t>, δ) της</w:t>
      </w:r>
      <w:r w:rsidRPr="002F31CB">
        <w:rPr>
          <w:rFonts w:asciiTheme="majorHAnsi" w:hAnsiTheme="majorHAnsi" w:cs="Times New Roman"/>
          <w:lang w:val="el-GR"/>
        </w:rPr>
        <w:t xml:space="preserve"> πρόληψης και αντιμετώπισης των συννοσ</w:t>
      </w:r>
      <w:r w:rsidR="007B6787" w:rsidRPr="002F31CB">
        <w:rPr>
          <w:rFonts w:asciiTheme="majorHAnsi" w:hAnsiTheme="majorHAnsi" w:cs="Times New Roman"/>
          <w:lang w:val="el-GR"/>
        </w:rPr>
        <w:t xml:space="preserve">ηροτήτων. </w:t>
      </w:r>
      <w:r w:rsidR="0067322E" w:rsidRPr="002F31CB">
        <w:rPr>
          <w:rFonts w:asciiTheme="majorHAnsi" w:hAnsiTheme="majorHAnsi" w:cs="Times New Roman"/>
          <w:lang w:val="el-GR"/>
        </w:rPr>
        <w:t xml:space="preserve">Επιπρόσθετα, σε ασθενείς με ΣΕΛ συνιστάται αντιμετώπιση των παραγόντων που σχετίζονται με επηρεασμένη ποιότητα ζωής, όπως ο πόνος, το αίσθημα κόπωσης και οι διαταραχές του συναισθήματος. </w:t>
      </w:r>
    </w:p>
    <w:p w14:paraId="65ED70C4" w14:textId="77777777" w:rsidR="004A3EBC" w:rsidRPr="002F31CB" w:rsidRDefault="004A3EBC" w:rsidP="002F31CB">
      <w:pPr>
        <w:tabs>
          <w:tab w:val="left" w:pos="284"/>
          <w:tab w:val="left" w:pos="567"/>
        </w:tabs>
        <w:spacing w:after="120" w:line="360" w:lineRule="auto"/>
        <w:ind w:left="284" w:right="1093"/>
        <w:jc w:val="both"/>
        <w:rPr>
          <w:rFonts w:asciiTheme="majorHAnsi" w:hAnsiTheme="majorHAnsi" w:cs="Times New Roman"/>
          <w:lang w:val="el-GR"/>
        </w:rPr>
      </w:pPr>
      <w:r w:rsidRPr="002F31CB">
        <w:rPr>
          <w:rFonts w:asciiTheme="majorHAnsi" w:hAnsiTheme="majorHAnsi" w:cs="Times New Roman"/>
          <w:lang w:val="el-GR"/>
        </w:rPr>
        <w:t xml:space="preserve">Η θεραπεία των </w:t>
      </w:r>
      <w:r w:rsidR="0034213E" w:rsidRPr="002F31CB">
        <w:rPr>
          <w:rFonts w:asciiTheme="majorHAnsi" w:hAnsiTheme="majorHAnsi" w:cs="Times New Roman"/>
          <w:lang w:val="el-GR"/>
        </w:rPr>
        <w:t>σοβαρών</w:t>
      </w:r>
      <w:r w:rsidRPr="002F31CB">
        <w:rPr>
          <w:rFonts w:asciiTheme="majorHAnsi" w:hAnsiTheme="majorHAnsi" w:cs="Times New Roman"/>
          <w:lang w:val="el-GR"/>
        </w:rPr>
        <w:t xml:space="preserve"> εκδηλώσεων του ΣΕΛ περιλαμβάνει ένα αρχικό στάδιο εντατικής ανοσοκατασταλτικής θεραπείας (θεραπεία “εφόδου” ή επαγωγής της ύφεσης) με σκοπό τον περιορισμό της φλεγμονής και την αποκατάσταση της λειτουργίας των προσβεβλημένων οργάνων, ενώ ακολουθεί ένα δεύτερο στάδιο λιγότερο εντατικής ανοσοκατασταλτικής θεραπείας (χρόνια θεραπεία, θεραπεία συντήρησης της ύφεσης) με στόχο τη διατήρηση της αρχικής ανταπόκρισης και τη μείωση του κινδύνου για υποτροπή της νόσου.</w:t>
      </w:r>
    </w:p>
    <w:p w14:paraId="610BF03C" w14:textId="77777777" w:rsidR="00F44BF1" w:rsidRPr="002F31CB" w:rsidRDefault="00F44BF1" w:rsidP="002F31CB">
      <w:pPr>
        <w:tabs>
          <w:tab w:val="left" w:pos="284"/>
          <w:tab w:val="left" w:pos="567"/>
        </w:tabs>
        <w:spacing w:after="120" w:line="360" w:lineRule="auto"/>
        <w:ind w:left="284" w:right="1093"/>
        <w:jc w:val="both"/>
        <w:rPr>
          <w:rFonts w:asciiTheme="majorHAnsi" w:hAnsiTheme="majorHAnsi" w:cs="Times New Roman"/>
          <w:b/>
          <w:lang w:val="el-GR"/>
        </w:rPr>
      </w:pPr>
    </w:p>
    <w:p w14:paraId="220C1041" w14:textId="77777777" w:rsidR="005353FD" w:rsidRPr="002F31CB" w:rsidRDefault="0067322E" w:rsidP="002F31CB">
      <w:pPr>
        <w:tabs>
          <w:tab w:val="left" w:pos="284"/>
          <w:tab w:val="left" w:pos="567"/>
        </w:tabs>
        <w:spacing w:after="120" w:line="360" w:lineRule="auto"/>
        <w:ind w:left="284" w:right="1093"/>
        <w:jc w:val="both"/>
        <w:rPr>
          <w:rFonts w:asciiTheme="majorHAnsi" w:hAnsiTheme="majorHAnsi" w:cs="Times New Roman"/>
          <w:b/>
          <w:lang w:val="el-GR"/>
        </w:rPr>
      </w:pPr>
      <w:r w:rsidRPr="002F31CB">
        <w:rPr>
          <w:rFonts w:asciiTheme="majorHAnsi" w:hAnsiTheme="majorHAnsi" w:cs="Times New Roman"/>
          <w:b/>
          <w:lang w:val="el-GR"/>
        </w:rPr>
        <w:t>Ειδικότερες οδηγίες</w:t>
      </w:r>
    </w:p>
    <w:p w14:paraId="43D85B04" w14:textId="77777777" w:rsidR="005353FD" w:rsidRDefault="00F44BF1" w:rsidP="002F31CB">
      <w:pPr>
        <w:pStyle w:val="ListParagraph"/>
        <w:numPr>
          <w:ilvl w:val="0"/>
          <w:numId w:val="6"/>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 xml:space="preserve">Είναι επιθυμητή η χορήγηση </w:t>
      </w:r>
      <w:r w:rsidRPr="002F31CB">
        <w:rPr>
          <w:rFonts w:asciiTheme="majorHAnsi" w:hAnsiTheme="majorHAnsi" w:cs="Times New Roman"/>
          <w:b/>
          <w:lang w:val="el-GR"/>
        </w:rPr>
        <w:t>υδροξυχλωροκίνης</w:t>
      </w:r>
      <w:r w:rsidRPr="002F31CB">
        <w:rPr>
          <w:rFonts w:asciiTheme="majorHAnsi" w:hAnsiTheme="majorHAnsi" w:cs="Times New Roman"/>
          <w:lang w:val="el-GR"/>
        </w:rPr>
        <w:t xml:space="preserve"> (200-400 </w:t>
      </w:r>
      <w:r w:rsidRPr="002F31CB">
        <w:rPr>
          <w:rFonts w:asciiTheme="majorHAnsi" w:hAnsiTheme="majorHAnsi" w:cs="Times New Roman"/>
        </w:rPr>
        <w:t>mg</w:t>
      </w:r>
      <w:r w:rsidRPr="002F31CB">
        <w:rPr>
          <w:rFonts w:asciiTheme="majorHAnsi" w:hAnsiTheme="majorHAnsi" w:cs="Times New Roman"/>
          <w:lang w:val="el-GR"/>
        </w:rPr>
        <w:t>/ημέρα) σε όλους του ασθενείς με ΣΕΛ, εφόσον δε συντρέχουν αντενδείξεις ή ανεπιθύμητες ενέργειες.</w:t>
      </w:r>
    </w:p>
    <w:p w14:paraId="0180E518" w14:textId="77777777" w:rsidR="00FA36FA" w:rsidRPr="002F31CB" w:rsidRDefault="00FA36FA" w:rsidP="00FA36FA">
      <w:pPr>
        <w:pStyle w:val="ListParagraph"/>
        <w:tabs>
          <w:tab w:val="left" w:pos="284"/>
          <w:tab w:val="left" w:pos="567"/>
        </w:tabs>
        <w:spacing w:after="120"/>
        <w:ind w:left="284" w:right="1094"/>
        <w:contextualSpacing w:val="0"/>
        <w:jc w:val="both"/>
        <w:rPr>
          <w:rFonts w:asciiTheme="majorHAnsi" w:hAnsiTheme="majorHAnsi" w:cs="Times New Roman"/>
          <w:lang w:val="el-GR"/>
        </w:rPr>
      </w:pPr>
    </w:p>
    <w:p w14:paraId="5E287447" w14:textId="77777777" w:rsidR="00F44BF1" w:rsidRDefault="0034213E" w:rsidP="002F31CB">
      <w:pPr>
        <w:pStyle w:val="ListParagraph"/>
        <w:numPr>
          <w:ilvl w:val="0"/>
          <w:numId w:val="6"/>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Στη χρόνια θερα</w:t>
      </w:r>
      <w:r w:rsidR="00107526" w:rsidRPr="002F31CB">
        <w:rPr>
          <w:rFonts w:asciiTheme="majorHAnsi" w:hAnsiTheme="majorHAnsi" w:cs="Times New Roman"/>
          <w:lang w:val="el-GR"/>
        </w:rPr>
        <w:t>πεία</w:t>
      </w:r>
      <w:r w:rsidRPr="002F31CB">
        <w:rPr>
          <w:rFonts w:asciiTheme="majorHAnsi" w:hAnsiTheme="majorHAnsi" w:cs="Times New Roman"/>
          <w:lang w:val="el-GR"/>
        </w:rPr>
        <w:t xml:space="preserve"> του ΣΕΛ, η αποδεκτή δόση των </w:t>
      </w:r>
      <w:r w:rsidRPr="002F31CB">
        <w:rPr>
          <w:rFonts w:asciiTheme="majorHAnsi" w:hAnsiTheme="majorHAnsi" w:cs="Times New Roman"/>
          <w:b/>
          <w:lang w:val="el-GR"/>
        </w:rPr>
        <w:t>γλυκοκορτικοειδών</w:t>
      </w:r>
      <w:r w:rsidRPr="002F31CB">
        <w:rPr>
          <w:rFonts w:asciiTheme="majorHAnsi" w:hAnsiTheme="majorHAnsi" w:cs="Times New Roman"/>
          <w:lang w:val="el-GR"/>
        </w:rPr>
        <w:t xml:space="preserve"> είναι ≤7.5 mg/ημέρα (ισοδύναμο πρεδνιζόνης)</w:t>
      </w:r>
      <w:r w:rsidR="006A3D22" w:rsidRPr="002F31CB">
        <w:rPr>
          <w:rFonts w:asciiTheme="majorHAnsi" w:hAnsiTheme="majorHAnsi" w:cs="Times New Roman"/>
          <w:lang w:val="el-GR"/>
        </w:rPr>
        <w:t>.</w:t>
      </w:r>
    </w:p>
    <w:p w14:paraId="0CCF0160" w14:textId="77777777" w:rsidR="00FA36FA" w:rsidRPr="00FA36FA" w:rsidRDefault="00FA36FA" w:rsidP="00FA36FA">
      <w:pPr>
        <w:pStyle w:val="ListParagraph"/>
        <w:rPr>
          <w:rFonts w:asciiTheme="majorHAnsi" w:hAnsiTheme="majorHAnsi" w:cs="Times New Roman"/>
          <w:lang w:val="el-GR"/>
        </w:rPr>
      </w:pPr>
    </w:p>
    <w:p w14:paraId="48E17840" w14:textId="77777777" w:rsidR="00FA36FA" w:rsidRPr="002F31CB" w:rsidRDefault="00FA36FA" w:rsidP="00FA36FA">
      <w:pPr>
        <w:pStyle w:val="ListParagraph"/>
        <w:tabs>
          <w:tab w:val="left" w:pos="284"/>
          <w:tab w:val="left" w:pos="567"/>
        </w:tabs>
        <w:spacing w:after="120"/>
        <w:ind w:left="284" w:right="1094"/>
        <w:contextualSpacing w:val="0"/>
        <w:jc w:val="both"/>
        <w:rPr>
          <w:rFonts w:asciiTheme="majorHAnsi" w:hAnsiTheme="majorHAnsi" w:cs="Times New Roman"/>
          <w:lang w:val="el-GR"/>
        </w:rPr>
      </w:pPr>
    </w:p>
    <w:p w14:paraId="5101C11A" w14:textId="77777777" w:rsidR="0034213E" w:rsidRPr="002F31CB" w:rsidRDefault="0034213E" w:rsidP="002F31CB">
      <w:pPr>
        <w:pStyle w:val="ListParagraph"/>
        <w:numPr>
          <w:ilvl w:val="0"/>
          <w:numId w:val="6"/>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 xml:space="preserve">Η θεραπεία των </w:t>
      </w:r>
      <w:r w:rsidRPr="002F31CB">
        <w:rPr>
          <w:rFonts w:asciiTheme="majorHAnsi" w:hAnsiTheme="majorHAnsi" w:cs="Times New Roman"/>
          <w:b/>
          <w:u w:val="single"/>
          <w:lang w:val="el-GR"/>
        </w:rPr>
        <w:t>ήπιων εκδηλώσεων</w:t>
      </w:r>
      <w:r w:rsidRPr="002F31CB">
        <w:rPr>
          <w:rFonts w:asciiTheme="majorHAnsi" w:hAnsiTheme="majorHAnsi" w:cs="Times New Roman"/>
          <w:lang w:val="el-GR"/>
        </w:rPr>
        <w:t xml:space="preserve"> του ΣΕΛ (</w:t>
      </w:r>
      <w:r w:rsidRPr="002F31CB">
        <w:rPr>
          <w:rFonts w:asciiTheme="majorHAnsi" w:hAnsiTheme="majorHAnsi" w:cs="Times New Roman"/>
          <w:b/>
          <w:lang w:val="el-GR"/>
        </w:rPr>
        <w:t>Πίνακας 1</w:t>
      </w:r>
      <w:r w:rsidRPr="002F31CB">
        <w:rPr>
          <w:rFonts w:asciiTheme="majorHAnsi" w:hAnsiTheme="majorHAnsi" w:cs="Times New Roman"/>
          <w:lang w:val="el-GR"/>
        </w:rPr>
        <w:t>) περιλαμβάνει τους κάτωθι παράγοντες:</w:t>
      </w:r>
    </w:p>
    <w:p w14:paraId="4B59DF35" w14:textId="77777777" w:rsidR="00D21F2D" w:rsidRPr="002F31CB" w:rsidRDefault="00D21F2D" w:rsidP="002F31CB">
      <w:pPr>
        <w:pStyle w:val="ListParagraph"/>
        <w:numPr>
          <w:ilvl w:val="1"/>
          <w:numId w:val="6"/>
        </w:numPr>
        <w:tabs>
          <w:tab w:val="left" w:pos="284"/>
          <w:tab w:val="left" w:pos="567"/>
        </w:tabs>
        <w:spacing w:after="120" w:line="360" w:lineRule="auto"/>
        <w:ind w:left="284" w:right="1093" w:firstLine="0"/>
        <w:contextualSpacing w:val="0"/>
        <w:jc w:val="both"/>
        <w:rPr>
          <w:rFonts w:asciiTheme="majorHAnsi" w:hAnsiTheme="majorHAnsi" w:cs="Times New Roman"/>
          <w:b/>
          <w:lang w:val="el-GR"/>
        </w:rPr>
      </w:pPr>
      <w:r w:rsidRPr="002F31CB">
        <w:rPr>
          <w:rFonts w:asciiTheme="majorHAnsi" w:hAnsiTheme="majorHAnsi" w:cs="Times New Roman"/>
          <w:lang w:val="el-GR"/>
        </w:rPr>
        <w:t>Μονοθεραπεία ή συνδυαστική θεραπεία</w:t>
      </w:r>
      <w:r w:rsidR="003E2AFB" w:rsidRPr="002F31CB">
        <w:rPr>
          <w:rFonts w:asciiTheme="majorHAnsi" w:hAnsiTheme="majorHAnsi" w:cs="Times New Roman"/>
          <w:lang w:val="el-GR"/>
        </w:rPr>
        <w:t xml:space="preserve"> με:</w:t>
      </w:r>
    </w:p>
    <w:p w14:paraId="51D4C926" w14:textId="77777777" w:rsidR="00D21F2D" w:rsidRPr="002F31CB" w:rsidRDefault="00D21F2D" w:rsidP="002F31CB">
      <w:pPr>
        <w:pStyle w:val="ListParagraph"/>
        <w:numPr>
          <w:ilvl w:val="0"/>
          <w:numId w:val="12"/>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Τοπικά γλυκοκορτικοειδή</w:t>
      </w:r>
      <w:r w:rsidR="00C57D77" w:rsidRPr="002F31CB">
        <w:rPr>
          <w:rFonts w:asciiTheme="majorHAnsi" w:hAnsiTheme="majorHAnsi" w:cs="Times New Roman"/>
          <w:lang w:val="el-GR"/>
        </w:rPr>
        <w:t xml:space="preserve"> (fluorinated, non-</w:t>
      </w:r>
      <w:r w:rsidR="00C57D77" w:rsidRPr="002F31CB">
        <w:rPr>
          <w:rFonts w:asciiTheme="majorHAnsi" w:hAnsiTheme="majorHAnsi" w:cs="Times New Roman"/>
        </w:rPr>
        <w:t>f</w:t>
      </w:r>
      <w:r w:rsidRPr="002F31CB">
        <w:rPr>
          <w:rFonts w:asciiTheme="majorHAnsi" w:hAnsiTheme="majorHAnsi" w:cs="Times New Roman"/>
          <w:lang w:val="el-GR"/>
        </w:rPr>
        <w:t>luorinated): σε φλεγμονώδεις δερματικές βλάβες</w:t>
      </w:r>
    </w:p>
    <w:p w14:paraId="6B3588EC" w14:textId="77777777" w:rsidR="00D21F2D" w:rsidRPr="002F31CB" w:rsidRDefault="00D21F2D" w:rsidP="002F31CB">
      <w:pPr>
        <w:pStyle w:val="ListParagraph"/>
        <w:numPr>
          <w:ilvl w:val="0"/>
          <w:numId w:val="12"/>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Τοπικοί αναστολείς καλσινευρίνης</w:t>
      </w:r>
      <w:r w:rsidRPr="002F31CB">
        <w:rPr>
          <w:rFonts w:asciiTheme="majorHAnsi" w:hAnsiTheme="majorHAnsi" w:cs="Times New Roman"/>
          <w:lang w:val="el-GR"/>
        </w:rPr>
        <w:t xml:space="preserve"> (pimecrolimus, tacrolimus): σε φλεγμονώδεις δερματικές βλάβες</w:t>
      </w:r>
    </w:p>
    <w:p w14:paraId="7FD2C8EE" w14:textId="77777777" w:rsidR="00D21F2D" w:rsidRPr="002F31CB" w:rsidRDefault="00D21F2D" w:rsidP="002F31CB">
      <w:pPr>
        <w:pStyle w:val="ListParagraph"/>
        <w:numPr>
          <w:ilvl w:val="0"/>
          <w:numId w:val="12"/>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Υδροξυχλωροκίνη</w:t>
      </w:r>
      <w:r w:rsidRPr="002F31CB">
        <w:rPr>
          <w:rFonts w:asciiTheme="majorHAnsi" w:hAnsiTheme="majorHAnsi" w:cs="Times New Roman"/>
          <w:lang w:val="el-GR"/>
        </w:rPr>
        <w:t xml:space="preserve"> (per os 200–400 mg/ημέρα)</w:t>
      </w:r>
    </w:p>
    <w:p w14:paraId="547354C3" w14:textId="77777777" w:rsidR="00D21F2D" w:rsidRPr="002F31CB" w:rsidRDefault="00D21F2D" w:rsidP="002F31CB">
      <w:pPr>
        <w:pStyle w:val="ListParagraph"/>
        <w:numPr>
          <w:ilvl w:val="0"/>
          <w:numId w:val="12"/>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Συστηματικά γλυκοκορτικοειδή</w:t>
      </w:r>
      <w:r w:rsidRPr="002F31CB">
        <w:rPr>
          <w:rFonts w:asciiTheme="majorHAnsi" w:hAnsiTheme="majorHAnsi" w:cs="Times New Roman"/>
          <w:lang w:val="el-GR"/>
        </w:rPr>
        <w:t xml:space="preserve"> (πρεδνιζολόνη ή μεθυλπρεδνιζολόνη) (per os): έως 0.3 mg/kg/ημέρα (ισοδύναμο πρεδνιζόνης) με σταδιακή μείωση δόσης και διακοπή εντός 4–</w:t>
      </w:r>
      <w:r w:rsidR="00A758EF" w:rsidRPr="002F31CB">
        <w:rPr>
          <w:rFonts w:asciiTheme="majorHAnsi" w:hAnsiTheme="majorHAnsi" w:cs="Times New Roman"/>
          <w:lang w:val="el-GR"/>
        </w:rPr>
        <w:t>8</w:t>
      </w:r>
      <w:r w:rsidRPr="002F31CB">
        <w:rPr>
          <w:rFonts w:asciiTheme="majorHAnsi" w:hAnsiTheme="majorHAnsi" w:cs="Times New Roman"/>
          <w:lang w:val="el-GR"/>
        </w:rPr>
        <w:t xml:space="preserve"> εβδομάδων). Εναλλακτικά, ενδομυϊκή χορήγηση γλυκοκορτικοειδών (βηταμεθαζόνη, Depo-Medrol).</w:t>
      </w:r>
    </w:p>
    <w:p w14:paraId="678791E2" w14:textId="77777777" w:rsidR="00D21F2D" w:rsidRPr="00FA36FA" w:rsidRDefault="00D21F2D" w:rsidP="002F31CB">
      <w:pPr>
        <w:pStyle w:val="ListParagraph"/>
        <w:numPr>
          <w:ilvl w:val="1"/>
          <w:numId w:val="6"/>
        </w:numPr>
        <w:tabs>
          <w:tab w:val="left" w:pos="284"/>
          <w:tab w:val="left" w:pos="567"/>
        </w:tabs>
        <w:spacing w:after="120" w:line="360" w:lineRule="auto"/>
        <w:ind w:left="284" w:right="1093" w:firstLine="0"/>
        <w:contextualSpacing w:val="0"/>
        <w:jc w:val="both"/>
        <w:rPr>
          <w:rFonts w:asciiTheme="majorHAnsi" w:hAnsiTheme="majorHAnsi" w:cs="Times New Roman"/>
          <w:b/>
          <w:lang w:val="el-GR"/>
        </w:rPr>
      </w:pPr>
      <w:r w:rsidRPr="002F31CB">
        <w:rPr>
          <w:rFonts w:asciiTheme="majorHAnsi" w:hAnsiTheme="majorHAnsi" w:cs="Times New Roman"/>
          <w:lang w:val="el-GR"/>
        </w:rPr>
        <w:t xml:space="preserve">Επί </w:t>
      </w:r>
      <w:r w:rsidRPr="002F31CB">
        <w:rPr>
          <w:rFonts w:asciiTheme="majorHAnsi" w:hAnsiTheme="majorHAnsi" w:cs="Times New Roman"/>
          <w:u w:val="single"/>
          <w:lang w:val="el-GR"/>
        </w:rPr>
        <w:t>ανθεκτικής</w:t>
      </w:r>
      <w:r w:rsidR="00A758EF" w:rsidRPr="002F31CB">
        <w:rPr>
          <w:rFonts w:asciiTheme="majorHAnsi" w:hAnsiTheme="majorHAnsi" w:cs="Times New Roman"/>
          <w:u w:val="single"/>
          <w:lang w:val="el-GR"/>
        </w:rPr>
        <w:t>,</w:t>
      </w:r>
      <w:r w:rsidRPr="002F31CB">
        <w:rPr>
          <w:rFonts w:asciiTheme="majorHAnsi" w:hAnsiTheme="majorHAnsi" w:cs="Times New Roman"/>
          <w:u w:val="single"/>
          <w:lang w:val="el-GR"/>
        </w:rPr>
        <w:t xml:space="preserve"> ή </w:t>
      </w:r>
      <w:r w:rsidR="00B26314" w:rsidRPr="002F31CB">
        <w:rPr>
          <w:rFonts w:asciiTheme="majorHAnsi" w:hAnsiTheme="majorHAnsi" w:cs="Times New Roman"/>
          <w:u w:val="single"/>
          <w:lang w:val="el-GR"/>
        </w:rPr>
        <w:t xml:space="preserve">υπολειπόμενης (μερική </w:t>
      </w:r>
      <w:r w:rsidR="00A758EF" w:rsidRPr="002F31CB">
        <w:rPr>
          <w:rFonts w:asciiTheme="majorHAnsi" w:hAnsiTheme="majorHAnsi" w:cs="Times New Roman"/>
          <w:u w:val="single"/>
          <w:lang w:val="el-GR"/>
        </w:rPr>
        <w:t xml:space="preserve">κλινική </w:t>
      </w:r>
      <w:r w:rsidR="00B26314" w:rsidRPr="002F31CB">
        <w:rPr>
          <w:rFonts w:asciiTheme="majorHAnsi" w:hAnsiTheme="majorHAnsi" w:cs="Times New Roman"/>
          <w:u w:val="single"/>
          <w:lang w:val="el-GR"/>
        </w:rPr>
        <w:t>ανταπόκριση)</w:t>
      </w:r>
      <w:r w:rsidR="00A758EF" w:rsidRPr="002F31CB">
        <w:rPr>
          <w:rFonts w:asciiTheme="majorHAnsi" w:hAnsiTheme="majorHAnsi" w:cs="Times New Roman"/>
          <w:u w:val="single"/>
          <w:lang w:val="el-GR"/>
        </w:rPr>
        <w:t>,</w:t>
      </w:r>
      <w:r w:rsidR="00B26314" w:rsidRPr="002F31CB">
        <w:rPr>
          <w:rFonts w:asciiTheme="majorHAnsi" w:hAnsiTheme="majorHAnsi" w:cs="Times New Roman"/>
          <w:u w:val="single"/>
          <w:lang w:val="el-GR"/>
        </w:rPr>
        <w:t xml:space="preserve"> ή </w:t>
      </w:r>
      <w:r w:rsidRPr="002F31CB">
        <w:rPr>
          <w:rFonts w:asciiTheme="majorHAnsi" w:hAnsiTheme="majorHAnsi" w:cs="Times New Roman"/>
          <w:u w:val="single"/>
          <w:lang w:val="el-GR"/>
        </w:rPr>
        <w:t>υποτροπιάζουσας νόσου</w:t>
      </w:r>
      <w:r w:rsidRPr="002F31CB">
        <w:rPr>
          <w:rFonts w:asciiTheme="majorHAnsi" w:hAnsiTheme="majorHAnsi" w:cs="Times New Roman"/>
          <w:lang w:val="el-GR"/>
        </w:rPr>
        <w:t xml:space="preserve">, συνιστάται </w:t>
      </w:r>
      <w:r w:rsidR="00A758EF" w:rsidRPr="002F31CB">
        <w:rPr>
          <w:rFonts w:asciiTheme="majorHAnsi" w:hAnsiTheme="majorHAnsi" w:cs="Times New Roman"/>
          <w:lang w:val="el-GR"/>
        </w:rPr>
        <w:t xml:space="preserve">η θεραπεία να είναι </w:t>
      </w:r>
      <w:r w:rsidRPr="002F31CB">
        <w:rPr>
          <w:rFonts w:asciiTheme="majorHAnsi" w:hAnsiTheme="majorHAnsi" w:cs="Times New Roman"/>
          <w:lang w:val="el-GR"/>
        </w:rPr>
        <w:t xml:space="preserve">ως επί </w:t>
      </w:r>
      <w:r w:rsidRPr="002F31CB">
        <w:rPr>
          <w:rFonts w:asciiTheme="majorHAnsi" w:hAnsiTheme="majorHAnsi" w:cs="Times New Roman"/>
          <w:i/>
          <w:lang w:val="el-GR"/>
        </w:rPr>
        <w:t>μετρίως σοβαρών εκδηλώσεων</w:t>
      </w:r>
      <w:r w:rsidRPr="002F31CB">
        <w:rPr>
          <w:rFonts w:asciiTheme="majorHAnsi" w:hAnsiTheme="majorHAnsi" w:cs="Times New Roman"/>
          <w:lang w:val="el-GR"/>
        </w:rPr>
        <w:t xml:space="preserve"> (§4)</w:t>
      </w:r>
      <w:r w:rsidR="00C57D77" w:rsidRPr="002F31CB">
        <w:rPr>
          <w:rFonts w:asciiTheme="majorHAnsi" w:hAnsiTheme="majorHAnsi" w:cs="Times New Roman"/>
          <w:lang w:val="el-GR"/>
        </w:rPr>
        <w:t>.</w:t>
      </w:r>
    </w:p>
    <w:p w14:paraId="46107C64" w14:textId="77777777" w:rsidR="00FA36FA" w:rsidRPr="002F31CB" w:rsidRDefault="00FA36FA" w:rsidP="00FA36FA">
      <w:pPr>
        <w:pStyle w:val="ListParagraph"/>
        <w:tabs>
          <w:tab w:val="left" w:pos="284"/>
          <w:tab w:val="left" w:pos="567"/>
        </w:tabs>
        <w:spacing w:after="120"/>
        <w:ind w:left="284" w:right="1094"/>
        <w:contextualSpacing w:val="0"/>
        <w:jc w:val="both"/>
        <w:rPr>
          <w:rFonts w:asciiTheme="majorHAnsi" w:hAnsiTheme="majorHAnsi" w:cs="Times New Roman"/>
          <w:b/>
          <w:lang w:val="el-GR"/>
        </w:rPr>
      </w:pPr>
    </w:p>
    <w:p w14:paraId="08307D24" w14:textId="77777777" w:rsidR="00107526" w:rsidRPr="002F31CB" w:rsidRDefault="00107526" w:rsidP="002F31CB">
      <w:pPr>
        <w:pStyle w:val="ListParagraph"/>
        <w:numPr>
          <w:ilvl w:val="0"/>
          <w:numId w:val="6"/>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 xml:space="preserve">Η θεραπεία των </w:t>
      </w:r>
      <w:r w:rsidRPr="002F31CB">
        <w:rPr>
          <w:rFonts w:asciiTheme="majorHAnsi" w:hAnsiTheme="majorHAnsi" w:cs="Times New Roman"/>
          <w:b/>
          <w:u w:val="single"/>
          <w:lang w:val="el-GR"/>
        </w:rPr>
        <w:t>μετρίως σοβαρών εκδηλώσεων</w:t>
      </w:r>
      <w:r w:rsidRPr="002F31CB">
        <w:rPr>
          <w:rFonts w:asciiTheme="majorHAnsi" w:hAnsiTheme="majorHAnsi" w:cs="Times New Roman"/>
          <w:lang w:val="el-GR"/>
        </w:rPr>
        <w:t xml:space="preserve"> του ΣΕΛ (</w:t>
      </w:r>
      <w:r w:rsidRPr="002F31CB">
        <w:rPr>
          <w:rFonts w:asciiTheme="majorHAnsi" w:hAnsiTheme="majorHAnsi" w:cs="Times New Roman"/>
          <w:b/>
          <w:lang w:val="el-GR"/>
        </w:rPr>
        <w:t>Πίνακας 2</w:t>
      </w:r>
      <w:r w:rsidRPr="002F31CB">
        <w:rPr>
          <w:rFonts w:asciiTheme="majorHAnsi" w:hAnsiTheme="majorHAnsi" w:cs="Times New Roman"/>
          <w:lang w:val="el-GR"/>
        </w:rPr>
        <w:t>) περιλαμβάνει τους κάτωθι παράγοντες:</w:t>
      </w:r>
    </w:p>
    <w:p w14:paraId="473D8214" w14:textId="77777777" w:rsidR="003E2AFB" w:rsidRPr="002F31CB" w:rsidRDefault="00E746E6" w:rsidP="002F31CB">
      <w:pPr>
        <w:pStyle w:val="ListParagraph"/>
        <w:numPr>
          <w:ilvl w:val="1"/>
          <w:numId w:val="6"/>
        </w:numPr>
        <w:tabs>
          <w:tab w:val="left" w:pos="284"/>
          <w:tab w:val="left" w:pos="567"/>
        </w:tabs>
        <w:spacing w:after="120" w:line="360" w:lineRule="auto"/>
        <w:ind w:left="284" w:right="1093" w:firstLine="0"/>
        <w:contextualSpacing w:val="0"/>
        <w:jc w:val="both"/>
        <w:rPr>
          <w:rFonts w:asciiTheme="majorHAnsi" w:hAnsiTheme="majorHAnsi" w:cs="Times New Roman"/>
          <w:b/>
          <w:lang w:val="el-GR"/>
        </w:rPr>
      </w:pPr>
      <w:r w:rsidRPr="002F31CB">
        <w:rPr>
          <w:rFonts w:asciiTheme="majorHAnsi" w:hAnsiTheme="majorHAnsi" w:cs="Times New Roman"/>
          <w:lang w:val="el-GR"/>
        </w:rPr>
        <w:t>Αρχική θεραπεία</w:t>
      </w:r>
    </w:p>
    <w:p w14:paraId="1DB4155B" w14:textId="77777777" w:rsidR="007D124B" w:rsidRPr="002F31CB" w:rsidRDefault="003E2AFB" w:rsidP="002F31CB">
      <w:pPr>
        <w:pStyle w:val="ListParagraph"/>
        <w:numPr>
          <w:ilvl w:val="0"/>
          <w:numId w:val="11"/>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Συστηματικά γλυκοκορτικοειδή</w:t>
      </w:r>
      <w:r w:rsidRPr="002F31CB">
        <w:rPr>
          <w:rFonts w:asciiTheme="majorHAnsi" w:hAnsiTheme="majorHAnsi" w:cs="Times New Roman"/>
          <w:lang w:val="el-GR"/>
        </w:rPr>
        <w:t xml:space="preserve">. Πρεδνιζολόνη ή μεθυλπρεδνιζολόνη (per os) σε δόση 0.3–0.6 </w:t>
      </w:r>
      <w:r w:rsidRPr="002F31CB">
        <w:rPr>
          <w:rFonts w:asciiTheme="majorHAnsi" w:hAnsiTheme="majorHAnsi" w:cs="Times New Roman"/>
        </w:rPr>
        <w:t>mg</w:t>
      </w:r>
      <w:r w:rsidRPr="002F31CB">
        <w:rPr>
          <w:rFonts w:asciiTheme="majorHAnsi" w:hAnsiTheme="majorHAnsi" w:cs="Times New Roman"/>
          <w:lang w:val="el-GR"/>
        </w:rPr>
        <w:t>/</w:t>
      </w:r>
      <w:r w:rsidRPr="002F31CB">
        <w:rPr>
          <w:rFonts w:asciiTheme="majorHAnsi" w:hAnsiTheme="majorHAnsi" w:cs="Times New Roman"/>
        </w:rPr>
        <w:t>kg</w:t>
      </w:r>
      <w:r w:rsidRPr="002F31CB">
        <w:rPr>
          <w:rFonts w:asciiTheme="majorHAnsi" w:hAnsiTheme="majorHAnsi" w:cs="Times New Roman"/>
          <w:lang w:val="el-GR"/>
        </w:rPr>
        <w:t xml:space="preserve">/ημέρα (έως 40 </w:t>
      </w:r>
      <w:r w:rsidRPr="002F31CB">
        <w:rPr>
          <w:rFonts w:asciiTheme="majorHAnsi" w:hAnsiTheme="majorHAnsi" w:cs="Times New Roman"/>
        </w:rPr>
        <w:t>mg</w:t>
      </w:r>
      <w:r w:rsidRPr="002F31CB">
        <w:rPr>
          <w:rFonts w:asciiTheme="majorHAnsi" w:hAnsiTheme="majorHAnsi" w:cs="Times New Roman"/>
          <w:lang w:val="el-GR"/>
        </w:rPr>
        <w:t xml:space="preserve">/ημέρα) (ισοδύναμο πρεδνιζόνης) με σταδιακή μείωση σε 20 </w:t>
      </w:r>
      <w:r w:rsidRPr="002F31CB">
        <w:rPr>
          <w:rFonts w:asciiTheme="majorHAnsi" w:hAnsiTheme="majorHAnsi" w:cs="Times New Roman"/>
        </w:rPr>
        <w:t>mg</w:t>
      </w:r>
      <w:r w:rsidRPr="002F31CB">
        <w:rPr>
          <w:rFonts w:asciiTheme="majorHAnsi" w:hAnsiTheme="majorHAnsi" w:cs="Times New Roman"/>
          <w:lang w:val="el-GR"/>
        </w:rPr>
        <w:t xml:space="preserve">/ημέρα εντός 4–6 εβδομάδων και κατόπιν περαιτέρω μείωση. </w:t>
      </w:r>
    </w:p>
    <w:p w14:paraId="20A4009A" w14:textId="77777777" w:rsidR="003E2AFB" w:rsidRPr="002F31CB" w:rsidRDefault="003E2AFB" w:rsidP="002F31CB">
      <w:pPr>
        <w:pStyle w:val="ListParagraph"/>
        <w:tabs>
          <w:tab w:val="left" w:pos="284"/>
          <w:tab w:val="left" w:pos="567"/>
        </w:tabs>
        <w:spacing w:after="120" w:line="360" w:lineRule="auto"/>
        <w:ind w:left="284" w:right="1093"/>
        <w:contextualSpacing w:val="0"/>
        <w:jc w:val="both"/>
        <w:rPr>
          <w:rFonts w:asciiTheme="majorHAnsi" w:hAnsiTheme="majorHAnsi" w:cs="Times New Roman"/>
          <w:lang w:val="el-GR"/>
        </w:rPr>
      </w:pPr>
      <w:r w:rsidRPr="002F31CB">
        <w:rPr>
          <w:rFonts w:asciiTheme="majorHAnsi" w:hAnsiTheme="majorHAnsi" w:cs="Times New Roman"/>
          <w:lang w:val="el-GR"/>
        </w:rPr>
        <w:t xml:space="preserve">Εναλλακτικά, ενδοφλέβια μεθυλπρεδνιζολόνη (ώσεις 500–1000 </w:t>
      </w:r>
      <w:r w:rsidRPr="002F31CB">
        <w:rPr>
          <w:rFonts w:asciiTheme="majorHAnsi" w:hAnsiTheme="majorHAnsi" w:cs="Times New Roman"/>
        </w:rPr>
        <w:t>mg</w:t>
      </w:r>
      <w:r w:rsidRPr="002F31CB">
        <w:rPr>
          <w:rFonts w:asciiTheme="majorHAnsi" w:hAnsiTheme="majorHAnsi" w:cs="Times New Roman"/>
          <w:lang w:val="el-GR"/>
        </w:rPr>
        <w:t>/ημέρα επί 1–3 συνεχόμενες ημέρες) και κατόπιν πρεδνιζολόνη ή μεθυλπρεδνιζολόνη (per os) σε δόση ως άνω αλλά με δυνατότητα ταχύτερης σταδιακής μείωσης της δόσης</w:t>
      </w:r>
    </w:p>
    <w:p w14:paraId="4EB7E4CB" w14:textId="24098911" w:rsidR="003E2AFB" w:rsidRPr="002F31CB" w:rsidRDefault="003E2AFB" w:rsidP="00FA36FA">
      <w:pPr>
        <w:tabs>
          <w:tab w:val="left" w:pos="284"/>
          <w:tab w:val="left" w:pos="567"/>
        </w:tabs>
        <w:spacing w:after="120" w:line="360" w:lineRule="auto"/>
        <w:ind w:left="284" w:right="1093"/>
        <w:rPr>
          <w:rFonts w:asciiTheme="majorHAnsi" w:hAnsiTheme="majorHAnsi" w:cs="Times New Roman"/>
          <w:lang w:val="el-GR"/>
        </w:rPr>
      </w:pPr>
      <w:r w:rsidRPr="002F31CB">
        <w:rPr>
          <w:rFonts w:asciiTheme="majorHAnsi" w:hAnsiTheme="majorHAnsi" w:cs="Times New Roman"/>
          <w:u w:val="single"/>
          <w:lang w:val="el-GR"/>
        </w:rPr>
        <w:t>Σε συνδυασμό</w:t>
      </w:r>
      <w:r w:rsidRPr="002F31CB">
        <w:rPr>
          <w:rFonts w:asciiTheme="majorHAnsi" w:hAnsiTheme="majorHAnsi" w:cs="Times New Roman"/>
          <w:lang w:val="el-GR"/>
        </w:rPr>
        <w:t xml:space="preserve"> με έναν από τους κάτωθι ανοσοτροποποιητικούς</w:t>
      </w:r>
      <w:r w:rsidR="00FA36FA">
        <w:rPr>
          <w:rFonts w:asciiTheme="majorHAnsi" w:hAnsiTheme="majorHAnsi" w:cs="Times New Roman"/>
          <w:lang w:val="el-GR"/>
        </w:rPr>
        <w:t xml:space="preserve"> </w:t>
      </w:r>
      <w:r w:rsidRPr="002F31CB">
        <w:rPr>
          <w:rFonts w:asciiTheme="majorHAnsi" w:hAnsiTheme="majorHAnsi" w:cs="Times New Roman"/>
          <w:lang w:val="el-GR"/>
        </w:rPr>
        <w:t>/ανοσοκατασταλτικούς παράγοντες:</w:t>
      </w:r>
    </w:p>
    <w:p w14:paraId="7FD11935" w14:textId="77777777" w:rsidR="003E2AFB" w:rsidRPr="002F31CB" w:rsidRDefault="003E2AFB"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Μεθοτρεξάτη</w:t>
      </w:r>
      <w:r w:rsidRPr="002F31CB">
        <w:rPr>
          <w:rFonts w:asciiTheme="majorHAnsi" w:hAnsiTheme="majorHAnsi" w:cs="Times New Roman"/>
          <w:lang w:val="el-GR"/>
        </w:rPr>
        <w:t xml:space="preserve"> (per os, υποδόρια) σε αρχική δόση 15 mg/εβδομάδα με </w:t>
      </w:r>
      <w:r w:rsidR="00E746E6" w:rsidRPr="002F31CB">
        <w:rPr>
          <w:rFonts w:asciiTheme="majorHAnsi" w:hAnsiTheme="majorHAnsi" w:cs="Times New Roman"/>
          <w:lang w:val="el-GR"/>
        </w:rPr>
        <w:t>δυνατότητα</w:t>
      </w:r>
      <w:r w:rsidRPr="002F31CB">
        <w:rPr>
          <w:rFonts w:asciiTheme="majorHAnsi" w:hAnsiTheme="majorHAnsi" w:cs="Times New Roman"/>
          <w:lang w:val="el-GR"/>
        </w:rPr>
        <w:t xml:space="preserve"> αύξηση</w:t>
      </w:r>
      <w:r w:rsidR="00E746E6" w:rsidRPr="002F31CB">
        <w:rPr>
          <w:rFonts w:asciiTheme="majorHAnsi" w:hAnsiTheme="majorHAnsi" w:cs="Times New Roman"/>
          <w:lang w:val="el-GR"/>
        </w:rPr>
        <w:t>ς</w:t>
      </w:r>
      <w:r w:rsidRPr="002F31CB">
        <w:rPr>
          <w:rFonts w:asciiTheme="majorHAnsi" w:hAnsiTheme="majorHAnsi" w:cs="Times New Roman"/>
          <w:lang w:val="el-GR"/>
        </w:rPr>
        <w:t xml:space="preserve"> έως 20–25 mg/εβδομάδα. Παράλληλη χορήγηση </w:t>
      </w:r>
      <w:r w:rsidRPr="002F31CB">
        <w:rPr>
          <w:rFonts w:asciiTheme="majorHAnsi" w:hAnsiTheme="majorHAnsi" w:cs="Times New Roman"/>
          <w:b/>
          <w:lang w:val="el-GR"/>
        </w:rPr>
        <w:t>φυλικού οξέος</w:t>
      </w:r>
      <w:r w:rsidRPr="002F31CB">
        <w:rPr>
          <w:rFonts w:asciiTheme="majorHAnsi" w:hAnsiTheme="majorHAnsi" w:cs="Times New Roman"/>
          <w:lang w:val="el-GR"/>
        </w:rPr>
        <w:t xml:space="preserve"> (5 mg άπαξ εβδομαδιαίως per os).</w:t>
      </w:r>
      <w:r w:rsidR="00E746E6" w:rsidRPr="002F31CB">
        <w:rPr>
          <w:rFonts w:asciiTheme="majorHAnsi" w:hAnsiTheme="majorHAnsi"/>
          <w:lang w:val="el-GR"/>
        </w:rPr>
        <w:t xml:space="preserve"> </w:t>
      </w:r>
      <w:r w:rsidR="00E746E6" w:rsidRPr="002F31CB">
        <w:rPr>
          <w:rFonts w:asciiTheme="majorHAnsi" w:hAnsiTheme="majorHAnsi" w:cs="Times New Roman"/>
          <w:u w:val="single"/>
          <w:lang w:val="el-GR"/>
        </w:rPr>
        <w:t>Προτιμάται</w:t>
      </w:r>
      <w:r w:rsidR="00E746E6" w:rsidRPr="002F31CB">
        <w:rPr>
          <w:rFonts w:asciiTheme="majorHAnsi" w:hAnsiTheme="majorHAnsi" w:cs="Times New Roman"/>
          <w:lang w:val="el-GR"/>
        </w:rPr>
        <w:t xml:space="preserve"> κυρίως σε </w:t>
      </w:r>
      <w:r w:rsidR="00A758EF" w:rsidRPr="002F31CB">
        <w:rPr>
          <w:rFonts w:asciiTheme="majorHAnsi" w:hAnsiTheme="majorHAnsi" w:cs="Times New Roman"/>
          <w:lang w:val="el-GR"/>
        </w:rPr>
        <w:t>βλεννογονο</w:t>
      </w:r>
      <w:r w:rsidR="00E746E6" w:rsidRPr="002F31CB">
        <w:rPr>
          <w:rFonts w:asciiTheme="majorHAnsi" w:hAnsiTheme="majorHAnsi" w:cs="Times New Roman"/>
          <w:lang w:val="el-GR"/>
        </w:rPr>
        <w:t>δερματικές εκδηλώσεις, ορογονίτιδα, μυοσκελετικές εκδηλώσεις, ή ως παράγοντας που επιτρέπει τη μείωση/διακοπή των στεροειδών (steroid-sparring agent).</w:t>
      </w:r>
    </w:p>
    <w:p w14:paraId="13C101D0" w14:textId="77777777" w:rsidR="003E2AFB" w:rsidRPr="002F31CB" w:rsidRDefault="003E2AFB"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Αζαθειοπρίνη</w:t>
      </w:r>
      <w:r w:rsidRPr="002F31CB">
        <w:rPr>
          <w:rFonts w:asciiTheme="majorHAnsi" w:hAnsiTheme="majorHAnsi" w:cs="Times New Roman"/>
          <w:lang w:val="el-GR"/>
        </w:rPr>
        <w:t xml:space="preserve"> (per os) σε αρχική δόση 50 mg/ημέρα και εφόσον δεν υπάρχει μυελοτοξικότητα, σταδιακή αύξηση έως 2.0-2.5 mg/kg/ημέρα (μέγιστο 200 mg/ημέρα)</w:t>
      </w:r>
      <w:r w:rsidR="00E746E6" w:rsidRPr="002F31CB">
        <w:rPr>
          <w:rFonts w:asciiTheme="majorHAnsi" w:hAnsiTheme="majorHAnsi" w:cs="Times New Roman"/>
          <w:lang w:val="el-GR"/>
        </w:rPr>
        <w:t xml:space="preserve">. </w:t>
      </w:r>
      <w:r w:rsidR="00E746E6" w:rsidRPr="002F31CB">
        <w:rPr>
          <w:rFonts w:asciiTheme="majorHAnsi" w:hAnsiTheme="majorHAnsi" w:cs="Times New Roman"/>
          <w:u w:val="single"/>
          <w:lang w:val="el-GR"/>
        </w:rPr>
        <w:t>Προτιμάται</w:t>
      </w:r>
      <w:r w:rsidR="00E746E6" w:rsidRPr="002F31CB">
        <w:rPr>
          <w:rFonts w:asciiTheme="majorHAnsi" w:hAnsiTheme="majorHAnsi" w:cs="Times New Roman"/>
          <w:lang w:val="el-GR"/>
        </w:rPr>
        <w:t xml:space="preserve"> κυρίως σε ορογονίτιδα, </w:t>
      </w:r>
      <w:r w:rsidR="00A758EF" w:rsidRPr="002F31CB">
        <w:rPr>
          <w:rFonts w:asciiTheme="majorHAnsi" w:hAnsiTheme="majorHAnsi" w:cs="Times New Roman"/>
          <w:lang w:val="el-GR"/>
        </w:rPr>
        <w:t>βλεννογονο</w:t>
      </w:r>
      <w:r w:rsidR="00E746E6" w:rsidRPr="002F31CB">
        <w:rPr>
          <w:rFonts w:asciiTheme="majorHAnsi" w:hAnsiTheme="majorHAnsi" w:cs="Times New Roman"/>
          <w:lang w:val="el-GR"/>
        </w:rPr>
        <w:t xml:space="preserve">δερματικές, αιματολογικές, καρδιο-αναπνευστικές, γαστρεντερικές, </w:t>
      </w:r>
      <w:r w:rsidR="007D124B" w:rsidRPr="002F31CB">
        <w:rPr>
          <w:rFonts w:asciiTheme="majorHAnsi" w:hAnsiTheme="majorHAnsi" w:cs="Times New Roman"/>
          <w:lang w:val="el-GR"/>
        </w:rPr>
        <w:t xml:space="preserve">οφθαλμολογικές, </w:t>
      </w:r>
      <w:r w:rsidR="00E746E6" w:rsidRPr="002F31CB">
        <w:rPr>
          <w:rFonts w:asciiTheme="majorHAnsi" w:hAnsiTheme="majorHAnsi" w:cs="Times New Roman"/>
          <w:lang w:val="el-GR"/>
        </w:rPr>
        <w:t>νευροψυχιατρικές εκδηλώσεις, ή ως παράγοντας που επιτρέπει τη μείωση/διακοπή των στεροειδών.</w:t>
      </w:r>
    </w:p>
    <w:p w14:paraId="6E6F5044" w14:textId="77777777" w:rsidR="005E0B93" w:rsidRPr="002F31CB" w:rsidRDefault="005E0B93"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Κυκλοσπορίνη</w:t>
      </w:r>
      <w:r w:rsidRPr="002F31CB">
        <w:rPr>
          <w:rFonts w:asciiTheme="majorHAnsi" w:hAnsiTheme="majorHAnsi" w:cs="Times New Roman"/>
          <w:lang w:val="el-GR"/>
        </w:rPr>
        <w:t xml:space="preserve"> (</w:t>
      </w:r>
      <w:r w:rsidRPr="002F31CB">
        <w:rPr>
          <w:rFonts w:asciiTheme="majorHAnsi" w:hAnsiTheme="majorHAnsi" w:cs="Times New Roman"/>
        </w:rPr>
        <w:t>per</w:t>
      </w:r>
      <w:r w:rsidRPr="002F31CB">
        <w:rPr>
          <w:rFonts w:asciiTheme="majorHAnsi" w:hAnsiTheme="majorHAnsi" w:cs="Times New Roman"/>
          <w:lang w:val="el-GR"/>
        </w:rPr>
        <w:t xml:space="preserve"> </w:t>
      </w:r>
      <w:r w:rsidRPr="002F31CB">
        <w:rPr>
          <w:rFonts w:asciiTheme="majorHAnsi" w:hAnsiTheme="majorHAnsi" w:cs="Times New Roman"/>
        </w:rPr>
        <w:t>os</w:t>
      </w:r>
      <w:r w:rsidRPr="002F31CB">
        <w:rPr>
          <w:rFonts w:asciiTheme="majorHAnsi" w:hAnsiTheme="majorHAnsi" w:cs="Times New Roman"/>
          <w:lang w:val="el-GR"/>
        </w:rPr>
        <w:t>) σε αρχική δόση 50 mg/ημέρα και σταδιακή αύξηση έως 3–4 mg/</w:t>
      </w:r>
      <w:r w:rsidRPr="002F31CB">
        <w:rPr>
          <w:rFonts w:asciiTheme="majorHAnsi" w:hAnsiTheme="majorHAnsi" w:cs="Times New Roman"/>
        </w:rPr>
        <w:t>kg</w:t>
      </w:r>
      <w:r w:rsidRPr="002F31CB">
        <w:rPr>
          <w:rFonts w:asciiTheme="majorHAnsi" w:hAnsiTheme="majorHAnsi" w:cs="Times New Roman"/>
          <w:lang w:val="el-GR"/>
        </w:rPr>
        <w:t xml:space="preserve">/ημέρα (μέγιστο 250 </w:t>
      </w:r>
      <w:r w:rsidRPr="002F31CB">
        <w:rPr>
          <w:rFonts w:asciiTheme="majorHAnsi" w:hAnsiTheme="majorHAnsi" w:cs="Times New Roman"/>
        </w:rPr>
        <w:t>mg</w:t>
      </w:r>
      <w:r w:rsidRPr="002F31CB">
        <w:rPr>
          <w:rFonts w:asciiTheme="majorHAnsi" w:hAnsiTheme="majorHAnsi" w:cs="Times New Roman"/>
          <w:lang w:val="el-GR"/>
        </w:rPr>
        <w:t>/ημέρα). Σε μακροχρόνια χορήγηση συνιστάται παρακολούθηση επιπέδων φαρμάκου στο αίμα.</w:t>
      </w:r>
      <w:r w:rsidR="00E746E6" w:rsidRPr="002F31CB">
        <w:rPr>
          <w:rFonts w:asciiTheme="majorHAnsi" w:hAnsiTheme="majorHAnsi" w:cs="Times New Roman"/>
          <w:lang w:val="el-GR"/>
        </w:rPr>
        <w:t xml:space="preserve"> </w:t>
      </w:r>
      <w:r w:rsidR="00E746E6" w:rsidRPr="002F31CB">
        <w:rPr>
          <w:rFonts w:asciiTheme="majorHAnsi" w:hAnsiTheme="majorHAnsi" w:cs="Times New Roman"/>
          <w:u w:val="single"/>
          <w:lang w:val="el-GR"/>
        </w:rPr>
        <w:t>Προτιμάται</w:t>
      </w:r>
      <w:r w:rsidR="00E746E6" w:rsidRPr="002F31CB">
        <w:rPr>
          <w:rFonts w:asciiTheme="majorHAnsi" w:hAnsiTheme="majorHAnsi" w:cs="Times New Roman"/>
          <w:lang w:val="el-GR"/>
        </w:rPr>
        <w:t xml:space="preserve"> </w:t>
      </w:r>
      <w:r w:rsidR="007D124B" w:rsidRPr="002F31CB">
        <w:rPr>
          <w:rFonts w:asciiTheme="majorHAnsi" w:hAnsiTheme="majorHAnsi" w:cs="Times New Roman"/>
          <w:lang w:val="el-GR"/>
        </w:rPr>
        <w:t xml:space="preserve">κυρίως σε </w:t>
      </w:r>
      <w:r w:rsidR="00A758EF" w:rsidRPr="002F31CB">
        <w:rPr>
          <w:rFonts w:asciiTheme="majorHAnsi" w:hAnsiTheme="majorHAnsi" w:cs="Times New Roman"/>
          <w:lang w:val="el-GR"/>
        </w:rPr>
        <w:t>βλεννογονο</w:t>
      </w:r>
      <w:r w:rsidR="007D124B" w:rsidRPr="002F31CB">
        <w:rPr>
          <w:rFonts w:asciiTheme="majorHAnsi" w:hAnsiTheme="majorHAnsi" w:cs="Times New Roman"/>
          <w:lang w:val="el-GR"/>
        </w:rPr>
        <w:t>δερματικές, αιματολογικές, μυοσκελετικές εκδηλώσεις, σε αμιγή μεμβρανώδη (</w:t>
      </w:r>
      <w:r w:rsidR="007D124B" w:rsidRPr="002F31CB">
        <w:rPr>
          <w:rFonts w:asciiTheme="majorHAnsi" w:hAnsiTheme="majorHAnsi" w:cs="Times New Roman"/>
        </w:rPr>
        <w:t>class</w:t>
      </w:r>
      <w:r w:rsidR="007D124B" w:rsidRPr="002F31CB">
        <w:rPr>
          <w:rFonts w:asciiTheme="majorHAnsi" w:hAnsiTheme="majorHAnsi" w:cs="Times New Roman"/>
          <w:lang w:val="el-GR"/>
        </w:rPr>
        <w:t xml:space="preserve"> </w:t>
      </w:r>
      <w:r w:rsidR="007D124B" w:rsidRPr="002F31CB">
        <w:rPr>
          <w:rFonts w:asciiTheme="majorHAnsi" w:hAnsiTheme="majorHAnsi" w:cs="Times New Roman"/>
        </w:rPr>
        <w:t>V</w:t>
      </w:r>
      <w:r w:rsidR="007D124B" w:rsidRPr="002F31CB">
        <w:rPr>
          <w:rFonts w:asciiTheme="majorHAnsi" w:hAnsiTheme="majorHAnsi" w:cs="Times New Roman"/>
          <w:lang w:val="el-GR"/>
        </w:rPr>
        <w:t>) νεφρίτιδα ΣΕΛ, ή ως παράγοντας που επιτρέπει τη μείωση/διακοπή των στεροειδών</w:t>
      </w:r>
      <w:r w:rsidR="00E746E6" w:rsidRPr="002F31CB">
        <w:rPr>
          <w:rFonts w:asciiTheme="majorHAnsi" w:hAnsiTheme="majorHAnsi" w:cs="Times New Roman"/>
          <w:lang w:val="el-GR"/>
        </w:rPr>
        <w:t>.</w:t>
      </w:r>
    </w:p>
    <w:p w14:paraId="3F673A63" w14:textId="77777777" w:rsidR="005E0B93" w:rsidRDefault="005E0B93"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rPr>
        <w:t>Tacrolimus</w:t>
      </w:r>
      <w:r w:rsidRPr="002F31CB">
        <w:rPr>
          <w:rFonts w:asciiTheme="majorHAnsi" w:hAnsiTheme="majorHAnsi" w:cs="Times New Roman"/>
          <w:lang w:val="el-GR"/>
        </w:rPr>
        <w:t xml:space="preserve"> (</w:t>
      </w:r>
      <w:r w:rsidRPr="002F31CB">
        <w:rPr>
          <w:rFonts w:asciiTheme="majorHAnsi" w:hAnsiTheme="majorHAnsi" w:cs="Times New Roman"/>
        </w:rPr>
        <w:t>per</w:t>
      </w:r>
      <w:r w:rsidRPr="002F31CB">
        <w:rPr>
          <w:rFonts w:asciiTheme="majorHAnsi" w:hAnsiTheme="majorHAnsi" w:cs="Times New Roman"/>
          <w:lang w:val="el-GR"/>
        </w:rPr>
        <w:t xml:space="preserve"> </w:t>
      </w:r>
      <w:r w:rsidRPr="002F31CB">
        <w:rPr>
          <w:rFonts w:asciiTheme="majorHAnsi" w:hAnsiTheme="majorHAnsi" w:cs="Times New Roman"/>
        </w:rPr>
        <w:t>os</w:t>
      </w:r>
      <w:r w:rsidRPr="002F31CB">
        <w:rPr>
          <w:rFonts w:asciiTheme="majorHAnsi" w:hAnsiTheme="majorHAnsi" w:cs="Times New Roman"/>
          <w:lang w:val="el-GR"/>
        </w:rPr>
        <w:t xml:space="preserve">). Αρχική δόση 1 mg/ημέρα και σταδιακή αύξηση έως 0.1 </w:t>
      </w:r>
      <w:r w:rsidRPr="002F31CB">
        <w:rPr>
          <w:rFonts w:asciiTheme="majorHAnsi" w:hAnsiTheme="majorHAnsi" w:cs="Times New Roman"/>
        </w:rPr>
        <w:t>mg</w:t>
      </w:r>
      <w:r w:rsidRPr="002F31CB">
        <w:rPr>
          <w:rFonts w:asciiTheme="majorHAnsi" w:hAnsiTheme="majorHAnsi" w:cs="Times New Roman"/>
          <w:lang w:val="el-GR"/>
        </w:rPr>
        <w:t xml:space="preserve">/ημέρα (μέγιστο 4 </w:t>
      </w:r>
      <w:r w:rsidRPr="002F31CB">
        <w:rPr>
          <w:rFonts w:asciiTheme="majorHAnsi" w:hAnsiTheme="majorHAnsi" w:cs="Times New Roman"/>
        </w:rPr>
        <w:t>mg</w:t>
      </w:r>
      <w:r w:rsidRPr="002F31CB">
        <w:rPr>
          <w:rFonts w:asciiTheme="majorHAnsi" w:hAnsiTheme="majorHAnsi" w:cs="Times New Roman"/>
          <w:lang w:val="el-GR"/>
        </w:rPr>
        <w:t>/ημέρα). Σε μακροχρόνια χορήγηση συνιστάται παρακολούθηση επιπέδων φαρμάκου στο αίμα.</w:t>
      </w:r>
      <w:r w:rsidR="00E746E6" w:rsidRPr="002F31CB">
        <w:rPr>
          <w:rFonts w:asciiTheme="majorHAnsi" w:hAnsiTheme="majorHAnsi" w:cs="Times New Roman"/>
          <w:lang w:val="el-GR"/>
        </w:rPr>
        <w:t xml:space="preserve"> </w:t>
      </w:r>
      <w:r w:rsidR="00E746E6" w:rsidRPr="002F31CB">
        <w:rPr>
          <w:rFonts w:asciiTheme="majorHAnsi" w:hAnsiTheme="majorHAnsi" w:cs="Times New Roman"/>
          <w:u w:val="single"/>
          <w:lang w:val="el-GR"/>
        </w:rPr>
        <w:t>Προτιμάται</w:t>
      </w:r>
      <w:r w:rsidR="00E746E6" w:rsidRPr="002F31CB">
        <w:rPr>
          <w:rFonts w:asciiTheme="majorHAnsi" w:hAnsiTheme="majorHAnsi" w:cs="Times New Roman"/>
          <w:lang w:val="el-GR"/>
        </w:rPr>
        <w:t xml:space="preserve"> κυρίως σε αμιγή μεμβρανώδη (</w:t>
      </w:r>
      <w:r w:rsidR="00E746E6" w:rsidRPr="002F31CB">
        <w:rPr>
          <w:rFonts w:asciiTheme="majorHAnsi" w:hAnsiTheme="majorHAnsi" w:cs="Times New Roman"/>
        </w:rPr>
        <w:t>class</w:t>
      </w:r>
      <w:r w:rsidR="00E746E6" w:rsidRPr="002F31CB">
        <w:rPr>
          <w:rFonts w:asciiTheme="majorHAnsi" w:hAnsiTheme="majorHAnsi" w:cs="Times New Roman"/>
          <w:lang w:val="el-GR"/>
        </w:rPr>
        <w:t xml:space="preserve"> </w:t>
      </w:r>
      <w:r w:rsidR="00E746E6" w:rsidRPr="002F31CB">
        <w:rPr>
          <w:rFonts w:asciiTheme="majorHAnsi" w:hAnsiTheme="majorHAnsi" w:cs="Times New Roman"/>
        </w:rPr>
        <w:t>V</w:t>
      </w:r>
      <w:r w:rsidR="00E746E6" w:rsidRPr="002F31CB">
        <w:rPr>
          <w:rFonts w:asciiTheme="majorHAnsi" w:hAnsiTheme="majorHAnsi" w:cs="Times New Roman"/>
          <w:lang w:val="el-GR"/>
        </w:rPr>
        <w:t>) νεφρίτιδα ΣΕΛ.</w:t>
      </w:r>
    </w:p>
    <w:p w14:paraId="068FA6C3" w14:textId="77777777" w:rsidR="00FA36FA" w:rsidRPr="002F31CB" w:rsidRDefault="00FA36FA" w:rsidP="00FA36FA">
      <w:pPr>
        <w:pStyle w:val="ListParagraph"/>
        <w:tabs>
          <w:tab w:val="left" w:pos="284"/>
          <w:tab w:val="left" w:pos="567"/>
        </w:tabs>
        <w:ind w:left="284" w:right="1094"/>
        <w:contextualSpacing w:val="0"/>
        <w:jc w:val="both"/>
        <w:rPr>
          <w:rFonts w:asciiTheme="majorHAnsi" w:hAnsiTheme="majorHAnsi" w:cs="Times New Roman"/>
          <w:lang w:val="el-GR"/>
        </w:rPr>
      </w:pPr>
    </w:p>
    <w:p w14:paraId="7637C134" w14:textId="77777777" w:rsidR="003E2AFB" w:rsidRPr="002F31CB" w:rsidRDefault="003E2AFB" w:rsidP="002F31CB">
      <w:pPr>
        <w:pStyle w:val="ListParagraph"/>
        <w:numPr>
          <w:ilvl w:val="1"/>
          <w:numId w:val="6"/>
        </w:numPr>
        <w:tabs>
          <w:tab w:val="left" w:pos="284"/>
          <w:tab w:val="left" w:pos="567"/>
        </w:tabs>
        <w:spacing w:after="120" w:line="360" w:lineRule="auto"/>
        <w:ind w:left="284" w:right="1093" w:firstLine="0"/>
        <w:contextualSpacing w:val="0"/>
        <w:jc w:val="both"/>
        <w:rPr>
          <w:rFonts w:asciiTheme="majorHAnsi" w:hAnsiTheme="majorHAnsi" w:cs="Times New Roman"/>
          <w:b/>
          <w:lang w:val="el-GR"/>
        </w:rPr>
      </w:pPr>
      <w:r w:rsidRPr="002F31CB">
        <w:rPr>
          <w:rFonts w:asciiTheme="majorHAnsi" w:hAnsiTheme="majorHAnsi" w:cs="Times New Roman"/>
          <w:lang w:val="el-GR"/>
        </w:rPr>
        <w:t xml:space="preserve">Επί </w:t>
      </w:r>
      <w:r w:rsidRPr="002F31CB">
        <w:rPr>
          <w:rFonts w:asciiTheme="majorHAnsi" w:hAnsiTheme="majorHAnsi" w:cs="Times New Roman"/>
          <w:u w:val="single"/>
          <w:lang w:val="el-GR"/>
        </w:rPr>
        <w:t>ανθεκτικής</w:t>
      </w:r>
      <w:r w:rsidR="00A758EF" w:rsidRPr="002F31CB">
        <w:rPr>
          <w:rFonts w:asciiTheme="majorHAnsi" w:hAnsiTheme="majorHAnsi" w:cs="Times New Roman"/>
          <w:u w:val="single"/>
          <w:lang w:val="el-GR"/>
        </w:rPr>
        <w:t>,</w:t>
      </w:r>
      <w:r w:rsidRPr="002F31CB">
        <w:rPr>
          <w:rFonts w:asciiTheme="majorHAnsi" w:hAnsiTheme="majorHAnsi" w:cs="Times New Roman"/>
          <w:u w:val="single"/>
          <w:lang w:val="el-GR"/>
        </w:rPr>
        <w:t xml:space="preserve"> ή </w:t>
      </w:r>
      <w:r w:rsidR="00B26314" w:rsidRPr="002F31CB">
        <w:rPr>
          <w:rFonts w:asciiTheme="majorHAnsi" w:hAnsiTheme="majorHAnsi" w:cs="Times New Roman"/>
          <w:u w:val="single"/>
          <w:lang w:val="el-GR"/>
        </w:rPr>
        <w:t xml:space="preserve">υπολειπόμενης (μερική </w:t>
      </w:r>
      <w:r w:rsidR="00A758EF" w:rsidRPr="002F31CB">
        <w:rPr>
          <w:rFonts w:asciiTheme="majorHAnsi" w:hAnsiTheme="majorHAnsi" w:cs="Times New Roman"/>
          <w:u w:val="single"/>
          <w:lang w:val="el-GR"/>
        </w:rPr>
        <w:t xml:space="preserve">κλινική </w:t>
      </w:r>
      <w:r w:rsidR="00B26314" w:rsidRPr="002F31CB">
        <w:rPr>
          <w:rFonts w:asciiTheme="majorHAnsi" w:hAnsiTheme="majorHAnsi" w:cs="Times New Roman"/>
          <w:u w:val="single"/>
          <w:lang w:val="el-GR"/>
        </w:rPr>
        <w:t>ανταπόκριση)</w:t>
      </w:r>
      <w:r w:rsidR="00A758EF" w:rsidRPr="002F31CB">
        <w:rPr>
          <w:rFonts w:asciiTheme="majorHAnsi" w:hAnsiTheme="majorHAnsi" w:cs="Times New Roman"/>
          <w:u w:val="single"/>
          <w:lang w:val="el-GR"/>
        </w:rPr>
        <w:t>,</w:t>
      </w:r>
      <w:r w:rsidR="00B26314" w:rsidRPr="002F31CB">
        <w:rPr>
          <w:rFonts w:asciiTheme="majorHAnsi" w:hAnsiTheme="majorHAnsi" w:cs="Times New Roman"/>
          <w:u w:val="single"/>
          <w:lang w:val="el-GR"/>
        </w:rPr>
        <w:t xml:space="preserve"> ή </w:t>
      </w:r>
      <w:r w:rsidRPr="002F31CB">
        <w:rPr>
          <w:rFonts w:asciiTheme="majorHAnsi" w:hAnsiTheme="majorHAnsi" w:cs="Times New Roman"/>
          <w:u w:val="single"/>
          <w:lang w:val="el-GR"/>
        </w:rPr>
        <w:t>υποτροπιάζουσας νόσου</w:t>
      </w:r>
      <w:r w:rsidRPr="002F31CB">
        <w:rPr>
          <w:rFonts w:asciiTheme="majorHAnsi" w:hAnsiTheme="majorHAnsi" w:cs="Times New Roman"/>
          <w:lang w:val="el-GR"/>
        </w:rPr>
        <w:t xml:space="preserve">, συνιστώνται </w:t>
      </w:r>
      <w:r w:rsidR="003D2DFE" w:rsidRPr="002F31CB">
        <w:rPr>
          <w:rFonts w:asciiTheme="majorHAnsi" w:hAnsiTheme="majorHAnsi" w:cs="Times New Roman"/>
          <w:lang w:val="el-GR"/>
        </w:rPr>
        <w:t xml:space="preserve">ένα από </w:t>
      </w:r>
      <w:r w:rsidRPr="002F31CB">
        <w:rPr>
          <w:rFonts w:asciiTheme="majorHAnsi" w:hAnsiTheme="majorHAnsi" w:cs="Times New Roman"/>
          <w:lang w:val="el-GR"/>
        </w:rPr>
        <w:t>τα κάτωθι:</w:t>
      </w:r>
    </w:p>
    <w:p w14:paraId="53FBCE8B" w14:textId="77777777" w:rsidR="003D2DFE" w:rsidRPr="002F31CB" w:rsidRDefault="003D2DFE"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Χρήση άλλου ανοσοτροποποιητικού/ανοσοκατασταλτικού παράγοντα από αυτόν που χρησιμοποιήθηκε αρχικά</w:t>
      </w:r>
    </w:p>
    <w:p w14:paraId="7E2F7EA3" w14:textId="77777777" w:rsidR="00B678A2" w:rsidRPr="002F31CB" w:rsidRDefault="00D21F2D"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Λεφλουνομίδη</w:t>
      </w:r>
      <w:r w:rsidRPr="002F31CB">
        <w:rPr>
          <w:rFonts w:asciiTheme="majorHAnsi" w:hAnsiTheme="majorHAnsi" w:cs="Times New Roman"/>
          <w:lang w:val="el-GR"/>
        </w:rPr>
        <w:t xml:space="preserve"> (per os) σε δόση 10–20 mg/ημέρα</w:t>
      </w:r>
      <w:r w:rsidR="00E746E6" w:rsidRPr="002F31CB">
        <w:rPr>
          <w:rFonts w:asciiTheme="majorHAnsi" w:hAnsiTheme="majorHAnsi" w:cs="Times New Roman"/>
          <w:lang w:val="el-GR"/>
        </w:rPr>
        <w:t xml:space="preserve">. </w:t>
      </w:r>
      <w:r w:rsidR="00E746E6" w:rsidRPr="002F31CB">
        <w:rPr>
          <w:rFonts w:asciiTheme="majorHAnsi" w:hAnsiTheme="majorHAnsi" w:cs="Times New Roman"/>
          <w:u w:val="single"/>
          <w:lang w:val="el-GR"/>
        </w:rPr>
        <w:t>Προτιμάται</w:t>
      </w:r>
      <w:r w:rsidRPr="002F31CB">
        <w:rPr>
          <w:rFonts w:asciiTheme="majorHAnsi" w:hAnsiTheme="majorHAnsi" w:cs="Times New Roman"/>
          <w:lang w:val="el-GR"/>
        </w:rPr>
        <w:t xml:space="preserve"> </w:t>
      </w:r>
      <w:r w:rsidR="00E746E6" w:rsidRPr="002F31CB">
        <w:rPr>
          <w:rFonts w:asciiTheme="majorHAnsi" w:hAnsiTheme="majorHAnsi" w:cs="Times New Roman"/>
          <w:lang w:val="el-GR"/>
        </w:rPr>
        <w:t xml:space="preserve">σε φλεγμονώδη </w:t>
      </w:r>
      <w:r w:rsidRPr="002F31CB">
        <w:rPr>
          <w:rFonts w:asciiTheme="majorHAnsi" w:hAnsiTheme="majorHAnsi" w:cs="Times New Roman"/>
          <w:lang w:val="el-GR"/>
        </w:rPr>
        <w:t>αρθρίτιδα</w:t>
      </w:r>
      <w:r w:rsidR="00E746E6" w:rsidRPr="002F31CB">
        <w:rPr>
          <w:rFonts w:asciiTheme="majorHAnsi" w:hAnsiTheme="majorHAnsi" w:cs="Times New Roman"/>
          <w:lang w:val="el-GR"/>
        </w:rPr>
        <w:t>.</w:t>
      </w:r>
    </w:p>
    <w:p w14:paraId="7F1A32BD" w14:textId="77777777" w:rsidR="003D2DFE" w:rsidRPr="002F31CB" w:rsidRDefault="003D2DFE"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Μυκοφαινολικό</w:t>
      </w:r>
      <w:r w:rsidRPr="002F31CB">
        <w:rPr>
          <w:rFonts w:asciiTheme="majorHAnsi" w:hAnsiTheme="majorHAnsi" w:cs="Times New Roman"/>
          <w:lang w:val="el-GR"/>
        </w:rPr>
        <w:t xml:space="preserve"> (</w:t>
      </w:r>
      <w:r w:rsidRPr="002F31CB">
        <w:rPr>
          <w:rFonts w:asciiTheme="majorHAnsi" w:hAnsiTheme="majorHAnsi" w:cs="Times New Roman"/>
        </w:rPr>
        <w:t>per</w:t>
      </w:r>
      <w:r w:rsidRPr="002F31CB">
        <w:rPr>
          <w:rFonts w:asciiTheme="majorHAnsi" w:hAnsiTheme="majorHAnsi" w:cs="Times New Roman"/>
          <w:lang w:val="el-GR"/>
        </w:rPr>
        <w:t xml:space="preserve"> </w:t>
      </w:r>
      <w:r w:rsidRPr="002F31CB">
        <w:rPr>
          <w:rFonts w:asciiTheme="majorHAnsi" w:hAnsiTheme="majorHAnsi" w:cs="Times New Roman"/>
        </w:rPr>
        <w:t>os</w:t>
      </w:r>
      <w:r w:rsidRPr="002F31CB">
        <w:rPr>
          <w:rFonts w:asciiTheme="majorHAnsi" w:hAnsiTheme="majorHAnsi" w:cs="Times New Roman"/>
          <w:lang w:val="el-GR"/>
        </w:rPr>
        <w:t xml:space="preserve">) σε αρχική δόση </w:t>
      </w:r>
      <w:r w:rsidRPr="002F31CB">
        <w:rPr>
          <w:rFonts w:asciiTheme="majorHAnsi" w:hAnsiTheme="majorHAnsi" w:cs="Times New Roman"/>
        </w:rPr>
        <w:t>mycophenolate</w:t>
      </w:r>
      <w:r w:rsidRPr="002F31CB">
        <w:rPr>
          <w:rFonts w:asciiTheme="majorHAnsi" w:hAnsiTheme="majorHAnsi" w:cs="Times New Roman"/>
          <w:lang w:val="el-GR"/>
        </w:rPr>
        <w:t xml:space="preserve"> </w:t>
      </w:r>
      <w:r w:rsidRPr="002F31CB">
        <w:rPr>
          <w:rFonts w:asciiTheme="majorHAnsi" w:hAnsiTheme="majorHAnsi" w:cs="Times New Roman"/>
        </w:rPr>
        <w:t>mofetil</w:t>
      </w:r>
      <w:r w:rsidRPr="002F31CB">
        <w:rPr>
          <w:rFonts w:asciiTheme="majorHAnsi" w:hAnsiTheme="majorHAnsi" w:cs="Times New Roman"/>
          <w:lang w:val="el-GR"/>
        </w:rPr>
        <w:t xml:space="preserve"> 500 mg/ημέρα (ή ισοδύναμη δόση </w:t>
      </w:r>
      <w:r w:rsidRPr="002F31CB">
        <w:rPr>
          <w:rFonts w:asciiTheme="majorHAnsi" w:hAnsiTheme="majorHAnsi" w:cs="Times New Roman"/>
        </w:rPr>
        <w:t>mycophenolic</w:t>
      </w:r>
      <w:r w:rsidRPr="002F31CB">
        <w:rPr>
          <w:rFonts w:asciiTheme="majorHAnsi" w:hAnsiTheme="majorHAnsi" w:cs="Times New Roman"/>
          <w:lang w:val="el-GR"/>
        </w:rPr>
        <w:t xml:space="preserve"> </w:t>
      </w:r>
      <w:r w:rsidRPr="002F31CB">
        <w:rPr>
          <w:rFonts w:asciiTheme="majorHAnsi" w:hAnsiTheme="majorHAnsi" w:cs="Times New Roman"/>
        </w:rPr>
        <w:t>acid</w:t>
      </w:r>
      <w:r w:rsidRPr="002F31CB">
        <w:rPr>
          <w:rFonts w:asciiTheme="majorHAnsi" w:hAnsiTheme="majorHAnsi" w:cs="Times New Roman"/>
          <w:lang w:val="el-GR"/>
        </w:rPr>
        <w:t xml:space="preserve"> 360 </w:t>
      </w:r>
      <w:r w:rsidRPr="002F31CB">
        <w:rPr>
          <w:rFonts w:asciiTheme="majorHAnsi" w:hAnsiTheme="majorHAnsi" w:cs="Times New Roman"/>
        </w:rPr>
        <w:t>mg</w:t>
      </w:r>
      <w:r w:rsidRPr="002F31CB">
        <w:rPr>
          <w:rFonts w:asciiTheme="majorHAnsi" w:hAnsiTheme="majorHAnsi" w:cs="Times New Roman"/>
          <w:lang w:val="el-GR"/>
        </w:rPr>
        <w:t>) με σταδιακή</w:t>
      </w:r>
      <w:r w:rsidR="000B7D39" w:rsidRPr="002F31CB">
        <w:rPr>
          <w:rFonts w:asciiTheme="majorHAnsi" w:hAnsiTheme="majorHAnsi" w:cs="Times New Roman"/>
          <w:lang w:val="el-GR"/>
        </w:rPr>
        <w:t xml:space="preserve"> αύξηση έως 2000–</w:t>
      </w:r>
      <w:r w:rsidRPr="002F31CB">
        <w:rPr>
          <w:rFonts w:asciiTheme="majorHAnsi" w:hAnsiTheme="majorHAnsi" w:cs="Times New Roman"/>
          <w:lang w:val="el-GR"/>
        </w:rPr>
        <w:t xml:space="preserve">3000 </w:t>
      </w:r>
      <w:r w:rsidRPr="002F31CB">
        <w:rPr>
          <w:rFonts w:asciiTheme="majorHAnsi" w:hAnsiTheme="majorHAnsi" w:cs="Times New Roman"/>
        </w:rPr>
        <w:t>mg</w:t>
      </w:r>
      <w:r w:rsidRPr="002F31CB">
        <w:rPr>
          <w:rFonts w:asciiTheme="majorHAnsi" w:hAnsiTheme="majorHAnsi" w:cs="Times New Roman"/>
          <w:lang w:val="el-GR"/>
        </w:rPr>
        <w:t xml:space="preserve">/ημέρα (ή ισοδύναμη δόση </w:t>
      </w:r>
      <w:r w:rsidRPr="002F31CB">
        <w:rPr>
          <w:rFonts w:asciiTheme="majorHAnsi" w:hAnsiTheme="majorHAnsi" w:cs="Times New Roman"/>
        </w:rPr>
        <w:t>mycophenolic</w:t>
      </w:r>
      <w:r w:rsidRPr="002F31CB">
        <w:rPr>
          <w:rFonts w:asciiTheme="majorHAnsi" w:hAnsiTheme="majorHAnsi" w:cs="Times New Roman"/>
          <w:lang w:val="el-GR"/>
        </w:rPr>
        <w:t xml:space="preserve"> </w:t>
      </w:r>
      <w:r w:rsidRPr="002F31CB">
        <w:rPr>
          <w:rFonts w:asciiTheme="majorHAnsi" w:hAnsiTheme="majorHAnsi" w:cs="Times New Roman"/>
        </w:rPr>
        <w:t>acid</w:t>
      </w:r>
      <w:r w:rsidRPr="002F31CB">
        <w:rPr>
          <w:rFonts w:asciiTheme="majorHAnsi" w:hAnsiTheme="majorHAnsi" w:cs="Times New Roman"/>
          <w:lang w:val="el-GR"/>
        </w:rPr>
        <w:t>)</w:t>
      </w:r>
      <w:r w:rsidR="000D346F" w:rsidRPr="002F31CB">
        <w:rPr>
          <w:rFonts w:asciiTheme="majorHAnsi" w:hAnsiTheme="majorHAnsi" w:cs="Times New Roman"/>
          <w:lang w:val="el-GR"/>
        </w:rPr>
        <w:t xml:space="preserve">. </w:t>
      </w:r>
      <w:r w:rsidR="000D346F" w:rsidRPr="002F31CB">
        <w:rPr>
          <w:rFonts w:asciiTheme="majorHAnsi" w:hAnsiTheme="majorHAnsi" w:cs="Times New Roman"/>
          <w:u w:val="single"/>
          <w:lang w:val="el-GR"/>
        </w:rPr>
        <w:t>Προτιμάται</w:t>
      </w:r>
      <w:r w:rsidR="000D346F" w:rsidRPr="002F31CB">
        <w:rPr>
          <w:rFonts w:asciiTheme="majorHAnsi" w:hAnsiTheme="majorHAnsi" w:cs="Times New Roman"/>
          <w:lang w:val="el-GR"/>
        </w:rPr>
        <w:t xml:space="preserve"> κυρίως σε νεφρίτιδα, βλεννογονο-δερματικές (συμπεριλαμβανομένης της δερματικής αγγειΐτιδας), αιματολογικές, καρδιο-αναπνευστικές, και μυοσκελετικές εκδηλώσεις.</w:t>
      </w:r>
    </w:p>
    <w:p w14:paraId="2B1982DC" w14:textId="77777777" w:rsidR="00A758EF" w:rsidRPr="002F31CB" w:rsidRDefault="009454F2"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 xml:space="preserve">Belimumab. </w:t>
      </w:r>
      <w:r w:rsidRPr="002F31CB">
        <w:rPr>
          <w:rFonts w:asciiTheme="majorHAnsi" w:hAnsiTheme="majorHAnsi" w:cs="Times New Roman"/>
          <w:lang w:val="el-GR"/>
        </w:rPr>
        <w:t xml:space="preserve"> Ενδοφλέβια έγχυση 10 </w:t>
      </w:r>
      <w:r w:rsidRPr="002F31CB">
        <w:rPr>
          <w:rFonts w:asciiTheme="majorHAnsi" w:hAnsiTheme="majorHAnsi" w:cs="Times New Roman"/>
        </w:rPr>
        <w:t>mg</w:t>
      </w:r>
      <w:r w:rsidRPr="002F31CB">
        <w:rPr>
          <w:rFonts w:asciiTheme="majorHAnsi" w:hAnsiTheme="majorHAnsi" w:cs="Times New Roman"/>
          <w:lang w:val="el-GR"/>
        </w:rPr>
        <w:t>/</w:t>
      </w:r>
      <w:r w:rsidRPr="002F31CB">
        <w:rPr>
          <w:rFonts w:asciiTheme="majorHAnsi" w:hAnsiTheme="majorHAnsi" w:cs="Times New Roman"/>
        </w:rPr>
        <w:t>kg</w:t>
      </w:r>
      <w:r w:rsidRPr="002F31CB">
        <w:rPr>
          <w:rFonts w:asciiTheme="majorHAnsi" w:hAnsiTheme="majorHAnsi" w:cs="Times New Roman"/>
          <w:lang w:val="el-GR"/>
        </w:rPr>
        <w:t xml:space="preserve">  τις ημέρες 0, 14, και 28 και κατόπιν επανάληψη της έγχυσης ανά 4 εβδομάδες.</w:t>
      </w:r>
      <w:r w:rsidR="00A85A57" w:rsidRPr="002F31CB">
        <w:rPr>
          <w:rFonts w:asciiTheme="majorHAnsi" w:hAnsiTheme="majorHAnsi" w:cs="Times New Roman"/>
          <w:lang w:val="el-GR"/>
        </w:rPr>
        <w:t xml:space="preserve"> Η κύρια ένδειξη είναι </w:t>
      </w:r>
      <w:r w:rsidR="00A85A57" w:rsidRPr="002F31CB">
        <w:rPr>
          <w:rFonts w:asciiTheme="majorHAnsi" w:hAnsiTheme="majorHAnsi" w:cs="Times New Roman"/>
          <w:b/>
          <w:i/>
          <w:lang w:val="el-GR"/>
        </w:rPr>
        <w:t>ενεργός νόσος παρά τη μέγιστη συμβατική θεραπεία</w:t>
      </w:r>
      <w:r w:rsidR="00A758EF" w:rsidRPr="002F31CB">
        <w:rPr>
          <w:rFonts w:asciiTheme="majorHAnsi" w:hAnsiTheme="majorHAnsi" w:cs="Times New Roman"/>
          <w:lang w:val="el-GR"/>
        </w:rPr>
        <w:t xml:space="preserve"> με γλυκοκορτικοειδή, υδροξυχλωροκίνη, </w:t>
      </w:r>
      <w:r w:rsidR="000E28CF" w:rsidRPr="002F31CB">
        <w:rPr>
          <w:rFonts w:asciiTheme="majorHAnsi" w:hAnsiTheme="majorHAnsi" w:cs="Times New Roman"/>
          <w:lang w:val="el-GR"/>
        </w:rPr>
        <w:t>και ανοσοτροποποιητικούς-</w:t>
      </w:r>
      <w:r w:rsidR="00A758EF" w:rsidRPr="002F31CB">
        <w:rPr>
          <w:rFonts w:asciiTheme="majorHAnsi" w:hAnsiTheme="majorHAnsi" w:cs="Times New Roman"/>
          <w:lang w:val="el-GR"/>
        </w:rPr>
        <w:t xml:space="preserve">ανοσοκατασταλτικούς παράγοντες. </w:t>
      </w:r>
      <w:r w:rsidR="00D83D97" w:rsidRPr="002F31CB">
        <w:rPr>
          <w:rFonts w:asciiTheme="majorHAnsi" w:hAnsiTheme="majorHAnsi" w:cs="Times New Roman"/>
          <w:u w:val="single"/>
          <w:lang w:val="el-GR"/>
        </w:rPr>
        <w:t>Δεν συνιστάται</w:t>
      </w:r>
      <w:r w:rsidR="00D83D97" w:rsidRPr="002F31CB">
        <w:rPr>
          <w:rFonts w:asciiTheme="majorHAnsi" w:hAnsiTheme="majorHAnsi" w:cs="Times New Roman"/>
          <w:lang w:val="el-GR"/>
        </w:rPr>
        <w:t xml:space="preserve"> η χορήγηση του </w:t>
      </w:r>
      <w:r w:rsidR="00D83D97" w:rsidRPr="002F31CB">
        <w:rPr>
          <w:rFonts w:asciiTheme="majorHAnsi" w:hAnsiTheme="majorHAnsi" w:cs="Times New Roman"/>
        </w:rPr>
        <w:t>belimumab</w:t>
      </w:r>
      <w:r w:rsidR="00D83D97" w:rsidRPr="002F31CB">
        <w:rPr>
          <w:rFonts w:asciiTheme="majorHAnsi" w:hAnsiTheme="majorHAnsi" w:cs="Times New Roman"/>
          <w:lang w:val="el-GR"/>
        </w:rPr>
        <w:t xml:space="preserve"> για την αντιμετώπιση της ενεργού νεφρίτιδας ή των ενεργών νευρο-ψυχιατρικών εκδηλώσεων του ΣΕΛ.</w:t>
      </w:r>
    </w:p>
    <w:p w14:paraId="0CBDF1B0" w14:textId="77777777" w:rsidR="00D83D97" w:rsidRPr="002F31CB" w:rsidRDefault="00A85A57" w:rsidP="002F31CB">
      <w:pPr>
        <w:pStyle w:val="ListParagraph"/>
        <w:tabs>
          <w:tab w:val="left" w:pos="284"/>
          <w:tab w:val="left" w:pos="567"/>
        </w:tabs>
        <w:spacing w:after="120" w:line="360" w:lineRule="auto"/>
        <w:ind w:left="284" w:right="1093"/>
        <w:contextualSpacing w:val="0"/>
        <w:jc w:val="both"/>
        <w:rPr>
          <w:rFonts w:asciiTheme="majorHAnsi" w:hAnsiTheme="majorHAnsi" w:cs="Times New Roman"/>
          <w:lang w:val="el-GR"/>
        </w:rPr>
      </w:pPr>
      <w:r w:rsidRPr="002F31CB">
        <w:rPr>
          <w:rFonts w:asciiTheme="majorHAnsi" w:hAnsiTheme="majorHAnsi" w:cs="Times New Roman"/>
          <w:lang w:val="el-GR"/>
        </w:rPr>
        <w:t xml:space="preserve">Ενδεικτικές περιπτώσεις </w:t>
      </w:r>
      <w:r w:rsidR="00D83D97" w:rsidRPr="002F31CB">
        <w:rPr>
          <w:rFonts w:asciiTheme="majorHAnsi" w:hAnsiTheme="majorHAnsi" w:cs="Times New Roman"/>
          <w:lang w:val="el-GR"/>
        </w:rPr>
        <w:t xml:space="preserve">χορήγησης της θεραπείας </w:t>
      </w:r>
      <w:r w:rsidRPr="002F31CB">
        <w:rPr>
          <w:rFonts w:asciiTheme="majorHAnsi" w:hAnsiTheme="majorHAnsi" w:cs="Times New Roman"/>
          <w:lang w:val="el-GR"/>
        </w:rPr>
        <w:t xml:space="preserve">αποτελούν </w:t>
      </w:r>
      <w:r w:rsidR="009454F2" w:rsidRPr="002F31CB">
        <w:rPr>
          <w:rFonts w:asciiTheme="majorHAnsi" w:hAnsiTheme="majorHAnsi" w:cs="Times New Roman"/>
          <w:lang w:val="el-GR"/>
        </w:rPr>
        <w:t xml:space="preserve">ασθενείς με: </w:t>
      </w:r>
      <w:r w:rsidR="009454F2" w:rsidRPr="002F31CB">
        <w:rPr>
          <w:rFonts w:asciiTheme="majorHAnsi" w:hAnsiTheme="majorHAnsi" w:cs="Times New Roman"/>
          <w:b/>
          <w:lang w:val="el-GR"/>
        </w:rPr>
        <w:t>α)</w:t>
      </w:r>
      <w:r w:rsidR="009454F2" w:rsidRPr="002F31CB">
        <w:rPr>
          <w:rFonts w:asciiTheme="majorHAnsi" w:hAnsiTheme="majorHAnsi" w:cs="Times New Roman"/>
          <w:lang w:val="el-GR"/>
        </w:rPr>
        <w:t xml:space="preserve"> συνύπαρξη κλινικής και ορολογικής ενεργότητας (αυξημένοι τίτλοι </w:t>
      </w:r>
      <w:r w:rsidR="009454F2" w:rsidRPr="002F31CB">
        <w:rPr>
          <w:rFonts w:asciiTheme="majorHAnsi" w:hAnsiTheme="majorHAnsi" w:cs="Times New Roman"/>
        </w:rPr>
        <w:t>anti</w:t>
      </w:r>
      <w:r w:rsidR="009454F2" w:rsidRPr="002F31CB">
        <w:rPr>
          <w:rFonts w:asciiTheme="majorHAnsi" w:hAnsiTheme="majorHAnsi" w:cs="Times New Roman"/>
          <w:lang w:val="el-GR"/>
        </w:rPr>
        <w:t>-</w:t>
      </w:r>
      <w:r w:rsidR="009454F2" w:rsidRPr="002F31CB">
        <w:rPr>
          <w:rFonts w:asciiTheme="majorHAnsi" w:hAnsiTheme="majorHAnsi" w:cs="Times New Roman"/>
        </w:rPr>
        <w:t>dsDNA</w:t>
      </w:r>
      <w:r w:rsidR="009454F2" w:rsidRPr="002F31CB">
        <w:rPr>
          <w:rFonts w:asciiTheme="majorHAnsi" w:hAnsiTheme="majorHAnsi" w:cs="Times New Roman"/>
          <w:lang w:val="el-GR"/>
        </w:rPr>
        <w:t xml:space="preserve">, χαμηλοί τίτλοι </w:t>
      </w:r>
      <w:r w:rsidR="009454F2" w:rsidRPr="002F31CB">
        <w:rPr>
          <w:rFonts w:asciiTheme="majorHAnsi" w:hAnsiTheme="majorHAnsi" w:cs="Times New Roman"/>
        </w:rPr>
        <w:t>C</w:t>
      </w:r>
      <w:r w:rsidR="009454F2" w:rsidRPr="002F31CB">
        <w:rPr>
          <w:rFonts w:asciiTheme="majorHAnsi" w:hAnsiTheme="majorHAnsi" w:cs="Times New Roman"/>
          <w:lang w:val="el-GR"/>
        </w:rPr>
        <w:t>3/</w:t>
      </w:r>
      <w:r w:rsidR="009454F2" w:rsidRPr="002F31CB">
        <w:rPr>
          <w:rFonts w:asciiTheme="majorHAnsi" w:hAnsiTheme="majorHAnsi" w:cs="Times New Roman"/>
        </w:rPr>
        <w:t>C</w:t>
      </w:r>
      <w:r w:rsidR="009454F2" w:rsidRPr="002F31CB">
        <w:rPr>
          <w:rFonts w:asciiTheme="majorHAnsi" w:hAnsiTheme="majorHAnsi" w:cs="Times New Roman"/>
          <w:lang w:val="el-GR"/>
        </w:rPr>
        <w:t xml:space="preserve">4),  </w:t>
      </w:r>
      <w:r w:rsidR="009454F2" w:rsidRPr="002F31CB">
        <w:rPr>
          <w:rFonts w:asciiTheme="majorHAnsi" w:hAnsiTheme="majorHAnsi" w:cs="Times New Roman"/>
          <w:u w:val="single"/>
          <w:lang w:val="el-GR"/>
        </w:rPr>
        <w:t>ή/και</w:t>
      </w:r>
      <w:r w:rsidR="009454F2" w:rsidRPr="002F31CB">
        <w:rPr>
          <w:rFonts w:asciiTheme="majorHAnsi" w:hAnsiTheme="majorHAnsi" w:cs="Times New Roman"/>
          <w:lang w:val="el-GR"/>
        </w:rPr>
        <w:t xml:space="preserve"> </w:t>
      </w:r>
      <w:r w:rsidR="00D83D97" w:rsidRPr="002F31CB">
        <w:rPr>
          <w:rFonts w:asciiTheme="majorHAnsi" w:hAnsiTheme="majorHAnsi" w:cs="Times New Roman"/>
          <w:lang w:val="el-GR"/>
        </w:rPr>
        <w:t xml:space="preserve"> </w:t>
      </w:r>
      <w:r w:rsidR="009454F2" w:rsidRPr="002F31CB">
        <w:rPr>
          <w:rFonts w:asciiTheme="majorHAnsi" w:hAnsiTheme="majorHAnsi" w:cs="Times New Roman"/>
          <w:b/>
          <w:lang w:val="el-GR"/>
        </w:rPr>
        <w:t>β)</w:t>
      </w:r>
      <w:r w:rsidR="009454F2" w:rsidRPr="002F31CB">
        <w:rPr>
          <w:rFonts w:asciiTheme="majorHAnsi" w:hAnsiTheme="majorHAnsi" w:cs="Times New Roman"/>
          <w:lang w:val="el-GR"/>
        </w:rPr>
        <w:t xml:space="preserve"> δείκτη ενεργότητας ΣΕΛ  </w:t>
      </w:r>
      <w:r w:rsidR="009454F2" w:rsidRPr="002F31CB">
        <w:rPr>
          <w:rFonts w:asciiTheme="majorHAnsi" w:hAnsiTheme="majorHAnsi" w:cs="Times New Roman"/>
        </w:rPr>
        <w:t>SELENA</w:t>
      </w:r>
      <w:r w:rsidR="009454F2" w:rsidRPr="002F31CB">
        <w:rPr>
          <w:rFonts w:asciiTheme="majorHAnsi" w:hAnsiTheme="majorHAnsi" w:cs="Times New Roman"/>
          <w:lang w:val="el-GR"/>
        </w:rPr>
        <w:t>-</w:t>
      </w:r>
      <w:r w:rsidR="009454F2" w:rsidRPr="002F31CB">
        <w:rPr>
          <w:rFonts w:asciiTheme="majorHAnsi" w:hAnsiTheme="majorHAnsi" w:cs="Times New Roman"/>
        </w:rPr>
        <w:t>SLEDAI</w:t>
      </w:r>
      <w:r w:rsidR="009454F2" w:rsidRPr="002F31CB">
        <w:rPr>
          <w:rFonts w:asciiTheme="majorHAnsi" w:hAnsiTheme="majorHAnsi" w:cs="Times New Roman"/>
          <w:lang w:val="el-GR"/>
        </w:rPr>
        <w:t xml:space="preserve"> ≥8,  </w:t>
      </w:r>
      <w:r w:rsidR="009454F2" w:rsidRPr="002F31CB">
        <w:rPr>
          <w:rFonts w:asciiTheme="majorHAnsi" w:hAnsiTheme="majorHAnsi" w:cs="Times New Roman"/>
          <w:u w:val="single"/>
          <w:lang w:val="el-GR"/>
        </w:rPr>
        <w:t>ή/και</w:t>
      </w:r>
      <w:r w:rsidR="009454F2" w:rsidRPr="002F31CB">
        <w:rPr>
          <w:rFonts w:asciiTheme="majorHAnsi" w:hAnsiTheme="majorHAnsi" w:cs="Times New Roman"/>
          <w:lang w:val="el-GR"/>
        </w:rPr>
        <w:t xml:space="preserve"> </w:t>
      </w:r>
      <w:r w:rsidR="00D83D97" w:rsidRPr="002F31CB">
        <w:rPr>
          <w:rFonts w:asciiTheme="majorHAnsi" w:hAnsiTheme="majorHAnsi" w:cs="Times New Roman"/>
          <w:lang w:val="el-GR"/>
        </w:rPr>
        <w:t xml:space="preserve"> </w:t>
      </w:r>
      <w:r w:rsidR="009454F2" w:rsidRPr="002F31CB">
        <w:rPr>
          <w:rFonts w:asciiTheme="majorHAnsi" w:hAnsiTheme="majorHAnsi" w:cs="Times New Roman"/>
          <w:b/>
          <w:lang w:val="el-GR"/>
        </w:rPr>
        <w:t>γ)</w:t>
      </w:r>
      <w:r w:rsidR="009454F2" w:rsidRPr="002F31CB">
        <w:rPr>
          <w:rFonts w:asciiTheme="majorHAnsi" w:hAnsiTheme="majorHAnsi" w:cs="Times New Roman"/>
          <w:lang w:val="el-GR"/>
        </w:rPr>
        <w:t xml:space="preserve"> ανάγκη διαρκούς λήψης </w:t>
      </w:r>
      <w:r w:rsidR="00D83D97" w:rsidRPr="002F31CB">
        <w:rPr>
          <w:rFonts w:asciiTheme="majorHAnsi" w:hAnsiTheme="majorHAnsi" w:cs="Times New Roman"/>
          <w:lang w:val="el-GR"/>
        </w:rPr>
        <w:t>γλυκοκορτικοειδών</w:t>
      </w:r>
      <w:r w:rsidR="009454F2" w:rsidRPr="002F31CB">
        <w:rPr>
          <w:rFonts w:asciiTheme="majorHAnsi" w:hAnsiTheme="majorHAnsi" w:cs="Times New Roman"/>
          <w:lang w:val="el-GR"/>
        </w:rPr>
        <w:t xml:space="preserve"> σε δόση ισοδύναμο πρεδνιζόνης ≥7.5 </w:t>
      </w:r>
      <w:r w:rsidR="009454F2" w:rsidRPr="002F31CB">
        <w:rPr>
          <w:rFonts w:asciiTheme="majorHAnsi" w:hAnsiTheme="majorHAnsi" w:cs="Times New Roman"/>
        </w:rPr>
        <w:t>mg</w:t>
      </w:r>
      <w:r w:rsidR="00ED4C67" w:rsidRPr="002F31CB">
        <w:rPr>
          <w:rFonts w:asciiTheme="majorHAnsi" w:hAnsiTheme="majorHAnsi" w:cs="Times New Roman"/>
          <w:lang w:val="el-GR"/>
        </w:rPr>
        <w:t>/ημέρα σε συνδυασμό με υδροξυχλωροκίνη</w:t>
      </w:r>
      <w:r w:rsidR="009454F2" w:rsidRPr="002F31CB">
        <w:rPr>
          <w:rFonts w:asciiTheme="majorHAnsi" w:hAnsiTheme="majorHAnsi" w:cs="Times New Roman"/>
          <w:lang w:val="el-GR"/>
        </w:rPr>
        <w:t xml:space="preserve"> </w:t>
      </w:r>
      <w:r w:rsidR="00ED4C67" w:rsidRPr="002F31CB">
        <w:rPr>
          <w:rFonts w:asciiTheme="majorHAnsi" w:hAnsiTheme="majorHAnsi" w:cs="Times New Roman"/>
          <w:lang w:val="el-GR"/>
        </w:rPr>
        <w:t>και μετά τη δοκιμασία επί ένα τρίμηνο τουλάχιστον ενός δεύτερου ανοσοτροποποιητικού/ανοσοκατασταλτικού φαρμάκου</w:t>
      </w:r>
      <w:r w:rsidR="009454F2" w:rsidRPr="002F31CB">
        <w:rPr>
          <w:rFonts w:asciiTheme="majorHAnsi" w:hAnsiTheme="majorHAnsi" w:cs="Times New Roman"/>
          <w:lang w:val="el-GR"/>
        </w:rPr>
        <w:t>, ή επί αντενδείξεων/τοξικότητας στη συμβατική θεραπεία</w:t>
      </w:r>
      <w:r w:rsidR="007D124B" w:rsidRPr="002F31CB">
        <w:rPr>
          <w:rFonts w:asciiTheme="majorHAnsi" w:hAnsiTheme="majorHAnsi" w:cs="Times New Roman"/>
          <w:lang w:val="el-GR"/>
        </w:rPr>
        <w:t xml:space="preserve">. </w:t>
      </w:r>
    </w:p>
    <w:p w14:paraId="6DEDB684" w14:textId="77777777" w:rsidR="009454F2" w:rsidRPr="002F31CB" w:rsidRDefault="00ED4C67" w:rsidP="002F31CB">
      <w:pPr>
        <w:pStyle w:val="ListParagraph"/>
        <w:tabs>
          <w:tab w:val="left" w:pos="284"/>
          <w:tab w:val="left" w:pos="567"/>
        </w:tabs>
        <w:spacing w:after="120" w:line="360" w:lineRule="auto"/>
        <w:ind w:left="284" w:right="1093"/>
        <w:contextualSpacing w:val="0"/>
        <w:jc w:val="both"/>
        <w:rPr>
          <w:rFonts w:asciiTheme="majorHAnsi" w:hAnsiTheme="majorHAnsi" w:cs="Times New Roman"/>
          <w:lang w:val="el-GR"/>
        </w:rPr>
      </w:pPr>
      <w:r w:rsidRPr="002F31CB">
        <w:rPr>
          <w:rFonts w:asciiTheme="majorHAnsi" w:hAnsiTheme="majorHAnsi" w:cs="Times New Roman"/>
          <w:lang w:val="el-GR"/>
        </w:rPr>
        <w:t>Συνέχιση του φαρμάκου μετά το εξάμηνο μόνο εφόσον υπάρξει σημαντική</w:t>
      </w:r>
      <w:r w:rsidR="00D83D97" w:rsidRPr="002F31CB">
        <w:rPr>
          <w:rFonts w:asciiTheme="majorHAnsi" w:hAnsiTheme="majorHAnsi" w:cs="Times New Roman"/>
          <w:lang w:val="el-GR"/>
        </w:rPr>
        <w:t xml:space="preserve"> κλινική βελτίωση </w:t>
      </w:r>
      <w:r w:rsidRPr="002F31CB">
        <w:rPr>
          <w:rFonts w:asciiTheme="majorHAnsi" w:hAnsiTheme="majorHAnsi" w:cs="Times New Roman"/>
          <w:lang w:val="el-GR"/>
        </w:rPr>
        <w:t xml:space="preserve">(μείωση του </w:t>
      </w:r>
      <w:r w:rsidRPr="002F31CB">
        <w:rPr>
          <w:rFonts w:asciiTheme="majorHAnsi" w:hAnsiTheme="majorHAnsi" w:cs="Times New Roman"/>
        </w:rPr>
        <w:t>SELENA</w:t>
      </w:r>
      <w:r w:rsidRPr="002F31CB">
        <w:rPr>
          <w:rFonts w:asciiTheme="majorHAnsi" w:hAnsiTheme="majorHAnsi" w:cs="Times New Roman"/>
          <w:lang w:val="el-GR"/>
        </w:rPr>
        <w:t>-</w:t>
      </w:r>
      <w:r w:rsidRPr="002F31CB">
        <w:rPr>
          <w:rFonts w:asciiTheme="majorHAnsi" w:hAnsiTheme="majorHAnsi" w:cs="Times New Roman"/>
        </w:rPr>
        <w:t>SLEDAI</w:t>
      </w:r>
      <w:r w:rsidR="00D83D97" w:rsidRPr="002F31CB">
        <w:rPr>
          <w:rFonts w:asciiTheme="majorHAnsi" w:hAnsiTheme="majorHAnsi" w:cs="Times New Roman"/>
          <w:lang w:val="el-GR"/>
        </w:rPr>
        <w:t xml:space="preserve"> κατά τουλάχιστον 3 μονάδες,</w:t>
      </w:r>
      <w:r w:rsidRPr="002F31CB">
        <w:rPr>
          <w:rFonts w:asciiTheme="majorHAnsi" w:hAnsiTheme="majorHAnsi" w:cs="Times New Roman"/>
          <w:lang w:val="el-GR"/>
        </w:rPr>
        <w:t xml:space="preserve"> ή/και μείωση των </w:t>
      </w:r>
      <w:r w:rsidR="00D83D97" w:rsidRPr="002F31CB">
        <w:rPr>
          <w:rFonts w:asciiTheme="majorHAnsi" w:hAnsiTheme="majorHAnsi" w:cs="Times New Roman"/>
          <w:lang w:val="el-GR"/>
        </w:rPr>
        <w:t>γλυκοκορτικοειδών</w:t>
      </w:r>
      <w:r w:rsidRPr="002F31CB">
        <w:rPr>
          <w:rFonts w:asciiTheme="majorHAnsi" w:hAnsiTheme="majorHAnsi" w:cs="Times New Roman"/>
          <w:lang w:val="el-GR"/>
        </w:rPr>
        <w:t xml:space="preserve"> σε δόση ισοδύναμο πρεδνιζόνης </w:t>
      </w:r>
      <w:r w:rsidR="00D83D97" w:rsidRPr="002F31CB">
        <w:rPr>
          <w:rFonts w:asciiTheme="majorHAnsi" w:hAnsiTheme="majorHAnsi" w:cs="Times New Roman"/>
          <w:lang w:val="el-GR"/>
        </w:rPr>
        <w:t>&lt;</w:t>
      </w:r>
      <w:r w:rsidRPr="002F31CB">
        <w:rPr>
          <w:rFonts w:asciiTheme="majorHAnsi" w:hAnsiTheme="majorHAnsi" w:cs="Times New Roman"/>
          <w:lang w:val="el-GR"/>
        </w:rPr>
        <w:t xml:space="preserve">7.5 </w:t>
      </w:r>
      <w:r w:rsidRPr="002F31CB">
        <w:rPr>
          <w:rFonts w:asciiTheme="majorHAnsi" w:hAnsiTheme="majorHAnsi" w:cs="Times New Roman"/>
        </w:rPr>
        <w:t>mg</w:t>
      </w:r>
      <w:r w:rsidRPr="002F31CB">
        <w:rPr>
          <w:rFonts w:asciiTheme="majorHAnsi" w:hAnsiTheme="majorHAnsi" w:cs="Times New Roman"/>
          <w:lang w:val="el-GR"/>
        </w:rPr>
        <w:t>/ημέρα)</w:t>
      </w:r>
      <w:r w:rsidR="00D83D97" w:rsidRPr="002F31CB">
        <w:rPr>
          <w:rFonts w:asciiTheme="majorHAnsi" w:hAnsiTheme="majorHAnsi" w:cs="Times New Roman"/>
          <w:lang w:val="el-GR"/>
        </w:rPr>
        <w:t>.</w:t>
      </w:r>
      <w:r w:rsidRPr="002F31CB">
        <w:rPr>
          <w:rFonts w:asciiTheme="majorHAnsi" w:hAnsiTheme="majorHAnsi" w:cs="Times New Roman"/>
          <w:lang w:val="el-GR"/>
        </w:rPr>
        <w:t xml:space="preserve"> </w:t>
      </w:r>
    </w:p>
    <w:p w14:paraId="537FCE07" w14:textId="77777777" w:rsidR="009454F2" w:rsidRPr="002F31CB" w:rsidRDefault="009454F2" w:rsidP="002F31CB">
      <w:pPr>
        <w:tabs>
          <w:tab w:val="left" w:pos="284"/>
          <w:tab w:val="left" w:pos="567"/>
        </w:tabs>
        <w:spacing w:after="120" w:line="360" w:lineRule="auto"/>
        <w:ind w:left="284" w:right="1093"/>
        <w:jc w:val="both"/>
        <w:rPr>
          <w:rFonts w:asciiTheme="majorHAnsi" w:hAnsiTheme="majorHAnsi" w:cs="Times New Roman"/>
          <w:lang w:val="el-GR"/>
        </w:rPr>
      </w:pPr>
    </w:p>
    <w:p w14:paraId="690FC7EB" w14:textId="77777777" w:rsidR="006651E5" w:rsidRPr="002F31CB" w:rsidRDefault="006651E5" w:rsidP="002F31CB">
      <w:pPr>
        <w:pStyle w:val="ListParagraph"/>
        <w:numPr>
          <w:ilvl w:val="0"/>
          <w:numId w:val="6"/>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 xml:space="preserve">Η θεραπεία των </w:t>
      </w:r>
      <w:r w:rsidRPr="002F31CB">
        <w:rPr>
          <w:rFonts w:asciiTheme="majorHAnsi" w:hAnsiTheme="majorHAnsi" w:cs="Times New Roman"/>
          <w:b/>
          <w:u w:val="single"/>
          <w:lang w:val="el-GR"/>
        </w:rPr>
        <w:t>σοβαρών</w:t>
      </w:r>
      <w:r w:rsidR="00D83D97" w:rsidRPr="002F31CB">
        <w:rPr>
          <w:rFonts w:asciiTheme="majorHAnsi" w:hAnsiTheme="majorHAnsi" w:cs="Times New Roman"/>
          <w:b/>
          <w:u w:val="single"/>
          <w:lang w:val="el-GR"/>
        </w:rPr>
        <w:t xml:space="preserve"> ή απειλητικών για τη ζωή</w:t>
      </w:r>
      <w:r w:rsidRPr="002F31CB">
        <w:rPr>
          <w:rFonts w:asciiTheme="majorHAnsi" w:hAnsiTheme="majorHAnsi" w:cs="Times New Roman"/>
          <w:b/>
          <w:u w:val="single"/>
          <w:lang w:val="el-GR"/>
        </w:rPr>
        <w:t xml:space="preserve"> εκδηλώσεων</w:t>
      </w:r>
      <w:r w:rsidRPr="002F31CB">
        <w:rPr>
          <w:rFonts w:asciiTheme="majorHAnsi" w:hAnsiTheme="majorHAnsi" w:cs="Times New Roman"/>
          <w:lang w:val="el-GR"/>
        </w:rPr>
        <w:t xml:space="preserve"> του ΣΕΛ (</w:t>
      </w:r>
      <w:r w:rsidRPr="002F31CB">
        <w:rPr>
          <w:rFonts w:asciiTheme="majorHAnsi" w:hAnsiTheme="majorHAnsi" w:cs="Times New Roman"/>
          <w:b/>
          <w:lang w:val="el-GR"/>
        </w:rPr>
        <w:t>Πίνακας 3</w:t>
      </w:r>
      <w:r w:rsidRPr="002F31CB">
        <w:rPr>
          <w:rFonts w:asciiTheme="majorHAnsi" w:hAnsiTheme="majorHAnsi" w:cs="Times New Roman"/>
          <w:lang w:val="el-GR"/>
        </w:rPr>
        <w:t>) περιλαμβάνει τους κάτωθι παράγοντες:</w:t>
      </w:r>
    </w:p>
    <w:p w14:paraId="1D75795C" w14:textId="77777777" w:rsidR="006651E5" w:rsidRPr="002F31CB" w:rsidRDefault="00621506" w:rsidP="002F31CB">
      <w:pPr>
        <w:pStyle w:val="ListParagraph"/>
        <w:numPr>
          <w:ilvl w:val="1"/>
          <w:numId w:val="6"/>
        </w:numPr>
        <w:tabs>
          <w:tab w:val="left" w:pos="284"/>
          <w:tab w:val="left" w:pos="567"/>
        </w:tabs>
        <w:spacing w:after="120" w:line="360" w:lineRule="auto"/>
        <w:ind w:left="284" w:right="1093" w:firstLine="0"/>
        <w:contextualSpacing w:val="0"/>
        <w:jc w:val="both"/>
        <w:rPr>
          <w:rFonts w:asciiTheme="majorHAnsi" w:hAnsiTheme="majorHAnsi" w:cs="Times New Roman"/>
          <w:b/>
          <w:lang w:val="el-GR"/>
        </w:rPr>
      </w:pPr>
      <w:r w:rsidRPr="002F31CB">
        <w:rPr>
          <w:rFonts w:asciiTheme="majorHAnsi" w:hAnsiTheme="majorHAnsi" w:cs="Times New Roman"/>
          <w:lang w:val="el-GR"/>
        </w:rPr>
        <w:t>Αρχική θεραπεία</w:t>
      </w:r>
    </w:p>
    <w:p w14:paraId="3EBD82FB" w14:textId="77777777" w:rsidR="007D124B" w:rsidRPr="002F31CB" w:rsidRDefault="006651E5" w:rsidP="002F31CB">
      <w:pPr>
        <w:pStyle w:val="ListParagraph"/>
        <w:numPr>
          <w:ilvl w:val="0"/>
          <w:numId w:val="11"/>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Συστηματικά γλυκοκορτικοειδή</w:t>
      </w:r>
      <w:r w:rsidRPr="002F31CB">
        <w:rPr>
          <w:rFonts w:asciiTheme="majorHAnsi" w:hAnsiTheme="majorHAnsi" w:cs="Times New Roman"/>
          <w:lang w:val="el-GR"/>
        </w:rPr>
        <w:t xml:space="preserve">. Πρεδνιζολόνη ή μεθυλπρεδνιζολόνη (per os) σε δόση 1 </w:t>
      </w:r>
      <w:r w:rsidRPr="002F31CB">
        <w:rPr>
          <w:rFonts w:asciiTheme="majorHAnsi" w:hAnsiTheme="majorHAnsi" w:cs="Times New Roman"/>
        </w:rPr>
        <w:t>mg</w:t>
      </w:r>
      <w:r w:rsidRPr="002F31CB">
        <w:rPr>
          <w:rFonts w:asciiTheme="majorHAnsi" w:hAnsiTheme="majorHAnsi" w:cs="Times New Roman"/>
          <w:lang w:val="el-GR"/>
        </w:rPr>
        <w:t>/</w:t>
      </w:r>
      <w:r w:rsidRPr="002F31CB">
        <w:rPr>
          <w:rFonts w:asciiTheme="majorHAnsi" w:hAnsiTheme="majorHAnsi" w:cs="Times New Roman"/>
        </w:rPr>
        <w:t>kg</w:t>
      </w:r>
      <w:r w:rsidRPr="002F31CB">
        <w:rPr>
          <w:rFonts w:asciiTheme="majorHAnsi" w:hAnsiTheme="majorHAnsi" w:cs="Times New Roman"/>
          <w:lang w:val="el-GR"/>
        </w:rPr>
        <w:t xml:space="preserve">/ημέρα (έως 60 </w:t>
      </w:r>
      <w:r w:rsidRPr="002F31CB">
        <w:rPr>
          <w:rFonts w:asciiTheme="majorHAnsi" w:hAnsiTheme="majorHAnsi" w:cs="Times New Roman"/>
        </w:rPr>
        <w:t>mg</w:t>
      </w:r>
      <w:r w:rsidRPr="002F31CB">
        <w:rPr>
          <w:rFonts w:asciiTheme="majorHAnsi" w:hAnsiTheme="majorHAnsi" w:cs="Times New Roman"/>
          <w:lang w:val="el-GR"/>
        </w:rPr>
        <w:t xml:space="preserve">/ημέρα) (ισοδύναμο πρεδνιζόνης) με σταδιακή μείωση σε 30 </w:t>
      </w:r>
      <w:r w:rsidRPr="002F31CB">
        <w:rPr>
          <w:rFonts w:asciiTheme="majorHAnsi" w:hAnsiTheme="majorHAnsi" w:cs="Times New Roman"/>
        </w:rPr>
        <w:t>mg</w:t>
      </w:r>
      <w:r w:rsidRPr="002F31CB">
        <w:rPr>
          <w:rFonts w:asciiTheme="majorHAnsi" w:hAnsiTheme="majorHAnsi" w:cs="Times New Roman"/>
          <w:lang w:val="el-GR"/>
        </w:rPr>
        <w:t xml:space="preserve">/ημέρα εντός 4–6 εβδομάδων και κατόπιν περαιτέρω μείωση. </w:t>
      </w:r>
    </w:p>
    <w:p w14:paraId="0756B8BE" w14:textId="77777777" w:rsidR="006651E5" w:rsidRPr="002F31CB" w:rsidRDefault="006651E5" w:rsidP="002F31CB">
      <w:pPr>
        <w:pStyle w:val="ListParagraph"/>
        <w:tabs>
          <w:tab w:val="left" w:pos="284"/>
          <w:tab w:val="left" w:pos="567"/>
        </w:tabs>
        <w:spacing w:after="120" w:line="360" w:lineRule="auto"/>
        <w:ind w:left="284" w:right="1093"/>
        <w:contextualSpacing w:val="0"/>
        <w:jc w:val="both"/>
        <w:rPr>
          <w:rFonts w:asciiTheme="majorHAnsi" w:hAnsiTheme="majorHAnsi" w:cs="Times New Roman"/>
          <w:lang w:val="el-GR"/>
        </w:rPr>
      </w:pPr>
      <w:r w:rsidRPr="002F31CB">
        <w:rPr>
          <w:rFonts w:asciiTheme="majorHAnsi" w:hAnsiTheme="majorHAnsi" w:cs="Times New Roman"/>
          <w:lang w:val="el-GR"/>
        </w:rPr>
        <w:t xml:space="preserve">Εναλλακτικά, ενδοφλέβια μεθυλπρεδνιζολόνη (ώσεις 500–1000 </w:t>
      </w:r>
      <w:r w:rsidRPr="002F31CB">
        <w:rPr>
          <w:rFonts w:asciiTheme="majorHAnsi" w:hAnsiTheme="majorHAnsi" w:cs="Times New Roman"/>
        </w:rPr>
        <w:t>mg</w:t>
      </w:r>
      <w:r w:rsidRPr="002F31CB">
        <w:rPr>
          <w:rFonts w:asciiTheme="majorHAnsi" w:hAnsiTheme="majorHAnsi" w:cs="Times New Roman"/>
          <w:lang w:val="el-GR"/>
        </w:rPr>
        <w:t xml:space="preserve">/ημέρα επί 1–3 συνεχόμενες ημέρες) και κατόπιν πρεδνιζολόνη ή μεθυλπρεδνιζολόνη (per os) σε δόση </w:t>
      </w:r>
      <w:r w:rsidR="00F70110" w:rsidRPr="002F31CB">
        <w:rPr>
          <w:rFonts w:asciiTheme="majorHAnsi" w:hAnsiTheme="majorHAnsi" w:cs="Times New Roman"/>
          <w:lang w:val="el-GR"/>
        </w:rPr>
        <w:t xml:space="preserve">0.5–0.7 </w:t>
      </w:r>
      <w:r w:rsidR="00F70110" w:rsidRPr="002F31CB">
        <w:rPr>
          <w:rFonts w:asciiTheme="majorHAnsi" w:hAnsiTheme="majorHAnsi" w:cs="Times New Roman"/>
        </w:rPr>
        <w:t>mg</w:t>
      </w:r>
      <w:r w:rsidR="00F70110" w:rsidRPr="002F31CB">
        <w:rPr>
          <w:rFonts w:asciiTheme="majorHAnsi" w:hAnsiTheme="majorHAnsi" w:cs="Times New Roman"/>
          <w:lang w:val="el-GR"/>
        </w:rPr>
        <w:t>/</w:t>
      </w:r>
      <w:r w:rsidR="00F70110" w:rsidRPr="002F31CB">
        <w:rPr>
          <w:rFonts w:asciiTheme="majorHAnsi" w:hAnsiTheme="majorHAnsi" w:cs="Times New Roman"/>
        </w:rPr>
        <w:t>kg</w:t>
      </w:r>
      <w:r w:rsidR="00F70110" w:rsidRPr="002F31CB">
        <w:rPr>
          <w:rFonts w:asciiTheme="majorHAnsi" w:hAnsiTheme="majorHAnsi" w:cs="Times New Roman"/>
          <w:lang w:val="el-GR"/>
        </w:rPr>
        <w:t xml:space="preserve">/ημέρα (έως 40–50 </w:t>
      </w:r>
      <w:r w:rsidR="00F70110" w:rsidRPr="002F31CB">
        <w:rPr>
          <w:rFonts w:asciiTheme="majorHAnsi" w:hAnsiTheme="majorHAnsi" w:cs="Times New Roman"/>
        </w:rPr>
        <w:t>mg</w:t>
      </w:r>
      <w:r w:rsidR="00F70110" w:rsidRPr="002F31CB">
        <w:rPr>
          <w:rFonts w:asciiTheme="majorHAnsi" w:hAnsiTheme="majorHAnsi" w:cs="Times New Roman"/>
          <w:lang w:val="el-GR"/>
        </w:rPr>
        <w:t xml:space="preserve">/ημέρα) και </w:t>
      </w:r>
      <w:r w:rsidRPr="002F31CB">
        <w:rPr>
          <w:rFonts w:asciiTheme="majorHAnsi" w:hAnsiTheme="majorHAnsi" w:cs="Times New Roman"/>
          <w:lang w:val="el-GR"/>
        </w:rPr>
        <w:t>με δυνατότητα ταχύτερης σταδιακής μείωσης της δόσης</w:t>
      </w:r>
    </w:p>
    <w:p w14:paraId="24FA1788" w14:textId="1FF0BAE9" w:rsidR="006651E5" w:rsidRPr="002F31CB" w:rsidRDefault="006651E5" w:rsidP="002F31CB">
      <w:pPr>
        <w:tabs>
          <w:tab w:val="left" w:pos="284"/>
          <w:tab w:val="left" w:pos="567"/>
        </w:tabs>
        <w:spacing w:after="120" w:line="360" w:lineRule="auto"/>
        <w:ind w:left="284" w:right="1093"/>
        <w:jc w:val="both"/>
        <w:rPr>
          <w:rFonts w:asciiTheme="majorHAnsi" w:hAnsiTheme="majorHAnsi" w:cs="Times New Roman"/>
          <w:lang w:val="el-GR"/>
        </w:rPr>
      </w:pPr>
      <w:r w:rsidRPr="002F31CB">
        <w:rPr>
          <w:rFonts w:asciiTheme="majorHAnsi" w:hAnsiTheme="majorHAnsi" w:cs="Times New Roman"/>
          <w:u w:val="single"/>
          <w:lang w:val="el-GR"/>
        </w:rPr>
        <w:t>Σε συνδυασμό</w:t>
      </w:r>
      <w:r w:rsidRPr="002F31CB">
        <w:rPr>
          <w:rFonts w:asciiTheme="majorHAnsi" w:hAnsiTheme="majorHAnsi" w:cs="Times New Roman"/>
          <w:lang w:val="el-GR"/>
        </w:rPr>
        <w:t xml:space="preserve"> με έναν από τους κάτωθι ανοσοτροποποιητικούς</w:t>
      </w:r>
      <w:r w:rsidR="00FA36FA">
        <w:rPr>
          <w:rFonts w:asciiTheme="majorHAnsi" w:hAnsiTheme="majorHAnsi" w:cs="Times New Roman"/>
          <w:lang w:val="el-GR"/>
        </w:rPr>
        <w:t xml:space="preserve"> </w:t>
      </w:r>
      <w:r w:rsidRPr="002F31CB">
        <w:rPr>
          <w:rFonts w:asciiTheme="majorHAnsi" w:hAnsiTheme="majorHAnsi" w:cs="Times New Roman"/>
          <w:lang w:val="el-GR"/>
        </w:rPr>
        <w:t>/ανοσοκατασταλτικούς παράγοντες:</w:t>
      </w:r>
    </w:p>
    <w:p w14:paraId="29659353" w14:textId="77777777" w:rsidR="006651E5" w:rsidRPr="002F31CB" w:rsidRDefault="006651E5"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Αζαθειοπρίνη</w:t>
      </w:r>
      <w:r w:rsidR="004F5922" w:rsidRPr="002F31CB">
        <w:rPr>
          <w:rFonts w:asciiTheme="majorHAnsi" w:hAnsiTheme="majorHAnsi" w:cs="Times New Roman"/>
          <w:lang w:val="el-GR"/>
        </w:rPr>
        <w:t xml:space="preserve"> </w:t>
      </w:r>
      <w:r w:rsidRPr="002F31CB">
        <w:rPr>
          <w:rFonts w:asciiTheme="majorHAnsi" w:hAnsiTheme="majorHAnsi" w:cs="Times New Roman"/>
          <w:lang w:val="el-GR"/>
        </w:rPr>
        <w:t xml:space="preserve"> </w:t>
      </w:r>
      <w:r w:rsidR="007D124B" w:rsidRPr="002F31CB">
        <w:rPr>
          <w:rFonts w:asciiTheme="majorHAnsi" w:hAnsiTheme="majorHAnsi" w:cs="Times New Roman"/>
          <w:lang w:val="el-GR"/>
        </w:rPr>
        <w:t>(</w:t>
      </w:r>
      <w:r w:rsidR="007D124B" w:rsidRPr="002F31CB">
        <w:rPr>
          <w:rFonts w:asciiTheme="majorHAnsi" w:hAnsiTheme="majorHAnsi" w:cs="Times New Roman"/>
          <w:b/>
          <w:lang w:val="el-GR"/>
        </w:rPr>
        <w:t>δες §4</w:t>
      </w:r>
      <w:r w:rsidR="007D124B" w:rsidRPr="002F31CB">
        <w:rPr>
          <w:rFonts w:asciiTheme="majorHAnsi" w:hAnsiTheme="majorHAnsi" w:cs="Times New Roman"/>
          <w:lang w:val="el-GR"/>
        </w:rPr>
        <w:t>)</w:t>
      </w:r>
    </w:p>
    <w:p w14:paraId="38D1A59A" w14:textId="77777777" w:rsidR="007D124B" w:rsidRPr="002F31CB" w:rsidRDefault="00A830BB"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Κυκλοφωσφαμίδη.</w:t>
      </w:r>
      <w:r w:rsidRPr="002F31CB">
        <w:rPr>
          <w:rFonts w:asciiTheme="majorHAnsi" w:hAnsiTheme="majorHAnsi" w:cs="Times New Roman"/>
          <w:lang w:val="el-GR"/>
        </w:rPr>
        <w:t xml:space="preserve"> Ενδοφλέβια ώση σε δόση 0.75–1 </w:t>
      </w:r>
      <w:r w:rsidRPr="002F31CB">
        <w:rPr>
          <w:rFonts w:asciiTheme="majorHAnsi" w:hAnsiTheme="majorHAnsi" w:cs="Times New Roman"/>
        </w:rPr>
        <w:t>g</w:t>
      </w:r>
      <w:r w:rsidRPr="002F31CB">
        <w:rPr>
          <w:rFonts w:asciiTheme="majorHAnsi" w:hAnsiTheme="majorHAnsi" w:cs="Times New Roman"/>
          <w:lang w:val="el-GR"/>
        </w:rPr>
        <w:t>/</w:t>
      </w:r>
      <w:r w:rsidRPr="002F31CB">
        <w:rPr>
          <w:rFonts w:asciiTheme="majorHAnsi" w:hAnsiTheme="majorHAnsi" w:cs="Times New Roman"/>
        </w:rPr>
        <w:t>m</w:t>
      </w:r>
      <w:r w:rsidRPr="002F31CB">
        <w:rPr>
          <w:rFonts w:asciiTheme="majorHAnsi" w:hAnsiTheme="majorHAnsi" w:cs="Times New Roman"/>
          <w:vertAlign w:val="superscript"/>
          <w:lang w:val="el-GR"/>
        </w:rPr>
        <w:t>2</w:t>
      </w:r>
      <w:r w:rsidRPr="002F31CB">
        <w:rPr>
          <w:rFonts w:asciiTheme="majorHAnsi" w:hAnsiTheme="majorHAnsi" w:cs="Times New Roman"/>
          <w:lang w:val="el-GR"/>
        </w:rPr>
        <w:t xml:space="preserve"> (τροποποίηση δόσης με βάση τη νεφρική λειτουργία και τη μυελοτοξικότητ</w:t>
      </w:r>
      <w:r w:rsidR="00F56EB3" w:rsidRPr="002F31CB">
        <w:rPr>
          <w:rFonts w:asciiTheme="majorHAnsi" w:hAnsiTheme="majorHAnsi" w:cs="Times New Roman"/>
          <w:lang w:val="el-GR"/>
        </w:rPr>
        <w:t xml:space="preserve">α) και επανάληψη ανά μήνα επί </w:t>
      </w:r>
      <w:r w:rsidRPr="002F31CB">
        <w:rPr>
          <w:rFonts w:asciiTheme="majorHAnsi" w:hAnsiTheme="majorHAnsi" w:cs="Times New Roman"/>
          <w:lang w:val="el-GR"/>
        </w:rPr>
        <w:t>6 μήνες.</w:t>
      </w:r>
      <w:r w:rsidR="00F56EB3" w:rsidRPr="002F31CB">
        <w:rPr>
          <w:rFonts w:asciiTheme="majorHAnsi" w:hAnsiTheme="majorHAnsi" w:cs="Times New Roman"/>
          <w:lang w:val="el-GR"/>
        </w:rPr>
        <w:t xml:space="preserve"> </w:t>
      </w:r>
      <w:r w:rsidR="007D124B" w:rsidRPr="002F31CB">
        <w:rPr>
          <w:rFonts w:asciiTheme="majorHAnsi" w:hAnsiTheme="majorHAnsi" w:cs="Times New Roman"/>
          <w:u w:val="single"/>
          <w:lang w:val="el-GR"/>
        </w:rPr>
        <w:t>Προτιμάται</w:t>
      </w:r>
      <w:r w:rsidR="007D124B" w:rsidRPr="002F31CB">
        <w:rPr>
          <w:rFonts w:asciiTheme="majorHAnsi" w:hAnsiTheme="majorHAnsi" w:cs="Times New Roman"/>
          <w:lang w:val="el-GR"/>
        </w:rPr>
        <w:t xml:space="preserve"> κυρίως σε νεφρίτιδα, ορογονίτιδα, </w:t>
      </w:r>
      <w:r w:rsidR="00D83D97" w:rsidRPr="002F31CB">
        <w:rPr>
          <w:rFonts w:asciiTheme="majorHAnsi" w:hAnsiTheme="majorHAnsi" w:cs="Times New Roman"/>
          <w:lang w:val="el-GR"/>
        </w:rPr>
        <w:t>βλεννογονο</w:t>
      </w:r>
      <w:r w:rsidR="007D124B" w:rsidRPr="002F31CB">
        <w:rPr>
          <w:rFonts w:asciiTheme="majorHAnsi" w:hAnsiTheme="majorHAnsi" w:cs="Times New Roman"/>
          <w:lang w:val="el-GR"/>
        </w:rPr>
        <w:t xml:space="preserve">δερματικές, αιματολογικές, καρδιο-αναπνευστικές, γαστρεντερικές, οφθαλμολογικές και νευροψυχιατρικές εκδηλώσεις. </w:t>
      </w:r>
    </w:p>
    <w:p w14:paraId="5DCAE59A" w14:textId="77777777" w:rsidR="00F56EB3" w:rsidRPr="002F31CB" w:rsidRDefault="00F56EB3" w:rsidP="002F31CB">
      <w:pPr>
        <w:pStyle w:val="ListParagraph"/>
        <w:tabs>
          <w:tab w:val="left" w:pos="284"/>
          <w:tab w:val="left" w:pos="567"/>
        </w:tabs>
        <w:spacing w:after="120" w:line="360" w:lineRule="auto"/>
        <w:ind w:left="284" w:right="1093"/>
        <w:contextualSpacing w:val="0"/>
        <w:jc w:val="both"/>
        <w:rPr>
          <w:rFonts w:asciiTheme="majorHAnsi" w:hAnsiTheme="majorHAnsi" w:cs="Times New Roman"/>
          <w:lang w:val="el-GR"/>
        </w:rPr>
      </w:pPr>
      <w:r w:rsidRPr="002F31CB">
        <w:rPr>
          <w:rFonts w:asciiTheme="majorHAnsi" w:hAnsiTheme="majorHAnsi" w:cs="Times New Roman"/>
          <w:lang w:val="el-GR"/>
        </w:rPr>
        <w:t>Σε υπερπλαστική (</w:t>
      </w:r>
      <w:r w:rsidRPr="002F31CB">
        <w:rPr>
          <w:rFonts w:asciiTheme="majorHAnsi" w:hAnsiTheme="majorHAnsi" w:cs="Times New Roman"/>
        </w:rPr>
        <w:t>class</w:t>
      </w:r>
      <w:r w:rsidRPr="002F31CB">
        <w:rPr>
          <w:rFonts w:asciiTheme="majorHAnsi" w:hAnsiTheme="majorHAnsi" w:cs="Times New Roman"/>
          <w:lang w:val="el-GR"/>
        </w:rPr>
        <w:t xml:space="preserve"> </w:t>
      </w:r>
      <w:r w:rsidRPr="002F31CB">
        <w:rPr>
          <w:rFonts w:asciiTheme="majorHAnsi" w:hAnsiTheme="majorHAnsi" w:cs="Times New Roman"/>
        </w:rPr>
        <w:t>III</w:t>
      </w:r>
      <w:r w:rsidRPr="002F31CB">
        <w:rPr>
          <w:rFonts w:asciiTheme="majorHAnsi" w:hAnsiTheme="majorHAnsi" w:cs="Times New Roman"/>
          <w:lang w:val="el-GR"/>
        </w:rPr>
        <w:t>/</w:t>
      </w:r>
      <w:r w:rsidRPr="002F31CB">
        <w:rPr>
          <w:rFonts w:asciiTheme="majorHAnsi" w:hAnsiTheme="majorHAnsi" w:cs="Times New Roman"/>
        </w:rPr>
        <w:t>IV</w:t>
      </w:r>
      <w:r w:rsidRPr="002F31CB">
        <w:rPr>
          <w:rFonts w:asciiTheme="majorHAnsi" w:hAnsiTheme="majorHAnsi" w:cs="Times New Roman"/>
          <w:lang w:val="el-GR"/>
        </w:rPr>
        <w:t xml:space="preserve">) νεφρίτιδα ΣΕΛ χωρίς κακούς προγνωστικούς δείκτες, μπορεί εναλλακτικά να χορηγηθεί </w:t>
      </w:r>
      <w:r w:rsidR="00D83D97" w:rsidRPr="002F31CB">
        <w:rPr>
          <w:rFonts w:asciiTheme="majorHAnsi" w:hAnsiTheme="majorHAnsi" w:cs="Times New Roman"/>
          <w:lang w:val="el-GR"/>
        </w:rPr>
        <w:t>σε χαμηλότερη δοσολογία (</w:t>
      </w:r>
      <w:r w:rsidRPr="002F31CB">
        <w:rPr>
          <w:rFonts w:asciiTheme="majorHAnsi" w:hAnsiTheme="majorHAnsi" w:cs="Times New Roman"/>
          <w:lang w:val="el-GR"/>
        </w:rPr>
        <w:t xml:space="preserve">σχήμα </w:t>
      </w:r>
      <w:r w:rsidRPr="002F31CB">
        <w:rPr>
          <w:rFonts w:asciiTheme="majorHAnsi" w:hAnsiTheme="majorHAnsi" w:cs="Times New Roman"/>
        </w:rPr>
        <w:t>EuroLupus</w:t>
      </w:r>
      <w:r w:rsidR="00D83D97" w:rsidRPr="002F31CB">
        <w:rPr>
          <w:rFonts w:asciiTheme="majorHAnsi" w:hAnsiTheme="majorHAnsi" w:cs="Times New Roman"/>
          <w:lang w:val="el-GR"/>
        </w:rPr>
        <w:t>)</w:t>
      </w:r>
      <w:r w:rsidRPr="002F31CB">
        <w:rPr>
          <w:rFonts w:asciiTheme="majorHAnsi" w:hAnsiTheme="majorHAnsi" w:cs="Times New Roman"/>
          <w:lang w:val="el-GR"/>
        </w:rPr>
        <w:t xml:space="preserve">: ώση ενδοφλέβιας κυκλοφωσφαμίδης 0.5 g και επανάληψη ανά 2 εβδομάδες έως συνολικά 6 ώσεις (σύνολο 3 </w:t>
      </w:r>
      <w:r w:rsidRPr="002F31CB">
        <w:rPr>
          <w:rFonts w:asciiTheme="majorHAnsi" w:hAnsiTheme="majorHAnsi" w:cs="Times New Roman"/>
        </w:rPr>
        <w:t>g</w:t>
      </w:r>
      <w:r w:rsidRPr="002F31CB">
        <w:rPr>
          <w:rFonts w:asciiTheme="majorHAnsi" w:hAnsiTheme="majorHAnsi" w:cs="Times New Roman"/>
          <w:lang w:val="el-GR"/>
        </w:rPr>
        <w:t xml:space="preserve"> κυκλοφωσφαμίδης).</w:t>
      </w:r>
      <w:r w:rsidR="00A830BB" w:rsidRPr="002F31CB">
        <w:rPr>
          <w:rFonts w:asciiTheme="majorHAnsi" w:hAnsiTheme="majorHAnsi" w:cs="Times New Roman"/>
          <w:lang w:val="el-GR"/>
        </w:rPr>
        <w:t xml:space="preserve"> </w:t>
      </w:r>
    </w:p>
    <w:p w14:paraId="4BD72AEC" w14:textId="77777777" w:rsidR="00F70110" w:rsidRPr="002F31CB" w:rsidRDefault="007D124B" w:rsidP="002F31CB">
      <w:pPr>
        <w:pStyle w:val="ListParagraph"/>
        <w:tabs>
          <w:tab w:val="left" w:pos="284"/>
          <w:tab w:val="left" w:pos="567"/>
        </w:tabs>
        <w:spacing w:after="120" w:line="360" w:lineRule="auto"/>
        <w:ind w:left="284" w:right="1093"/>
        <w:contextualSpacing w:val="0"/>
        <w:jc w:val="both"/>
        <w:rPr>
          <w:rFonts w:asciiTheme="majorHAnsi" w:hAnsiTheme="majorHAnsi" w:cs="Times New Roman"/>
          <w:lang w:val="el-GR"/>
        </w:rPr>
      </w:pPr>
      <w:r w:rsidRPr="002F31CB">
        <w:rPr>
          <w:rFonts w:asciiTheme="majorHAnsi" w:hAnsiTheme="majorHAnsi" w:cs="Times New Roman"/>
          <w:lang w:val="el-GR"/>
        </w:rPr>
        <w:t>Μετά την ολοκλήρωση του αρχικού θεραπευτικού σχήματος ακολουθεί</w:t>
      </w:r>
      <w:r w:rsidR="00A830BB" w:rsidRPr="002F31CB">
        <w:rPr>
          <w:rFonts w:asciiTheme="majorHAnsi" w:hAnsiTheme="majorHAnsi" w:cs="Times New Roman"/>
          <w:lang w:val="el-GR"/>
        </w:rPr>
        <w:t xml:space="preserve"> </w:t>
      </w:r>
      <w:r w:rsidR="00A830BB" w:rsidRPr="002F31CB">
        <w:rPr>
          <w:rFonts w:asciiTheme="majorHAnsi" w:hAnsiTheme="majorHAnsi" w:cs="Times New Roman"/>
          <w:b/>
          <w:lang w:val="el-GR"/>
        </w:rPr>
        <w:t>αγωγή συντήρησης</w:t>
      </w:r>
      <w:r w:rsidR="00F56EB3" w:rsidRPr="002F31CB">
        <w:rPr>
          <w:rFonts w:asciiTheme="majorHAnsi" w:hAnsiTheme="majorHAnsi" w:cs="Times New Roman"/>
          <w:b/>
          <w:lang w:val="el-GR"/>
        </w:rPr>
        <w:t xml:space="preserve"> </w:t>
      </w:r>
      <w:r w:rsidR="00F56EB3" w:rsidRPr="002F31CB">
        <w:rPr>
          <w:rFonts w:asciiTheme="majorHAnsi" w:hAnsiTheme="majorHAnsi" w:cs="Times New Roman"/>
          <w:lang w:val="el-GR"/>
        </w:rPr>
        <w:t xml:space="preserve">με </w:t>
      </w:r>
      <w:r w:rsidR="00A830BB" w:rsidRPr="002F31CB">
        <w:rPr>
          <w:rFonts w:asciiTheme="majorHAnsi" w:hAnsiTheme="majorHAnsi" w:cs="Times New Roman"/>
          <w:lang w:val="el-GR"/>
        </w:rPr>
        <w:t>αζαθειοπρίνη</w:t>
      </w:r>
      <w:r w:rsidR="004A2043" w:rsidRPr="002F31CB">
        <w:rPr>
          <w:rFonts w:asciiTheme="majorHAnsi" w:hAnsiTheme="majorHAnsi" w:cs="Times New Roman"/>
          <w:lang w:val="el-GR"/>
        </w:rPr>
        <w:t>,</w:t>
      </w:r>
      <w:r w:rsidR="00A830BB" w:rsidRPr="002F31CB">
        <w:rPr>
          <w:rFonts w:asciiTheme="majorHAnsi" w:hAnsiTheme="majorHAnsi" w:cs="Times New Roman"/>
          <w:lang w:val="el-GR"/>
        </w:rPr>
        <w:t xml:space="preserve"> ή μυκοφαινολικό</w:t>
      </w:r>
      <w:r w:rsidR="00F56EB3" w:rsidRPr="002F31CB">
        <w:rPr>
          <w:rFonts w:asciiTheme="majorHAnsi" w:hAnsiTheme="majorHAnsi" w:cs="Times New Roman"/>
          <w:lang w:val="el-GR"/>
        </w:rPr>
        <w:t>, ή με διμηνιαίες ή τριμηνιαίες ώσεις κυκλοφωσφαμίδης (σχήμα υψηλής δόσης)</w:t>
      </w:r>
      <w:r w:rsidR="00A830BB" w:rsidRPr="002F31CB">
        <w:rPr>
          <w:rFonts w:asciiTheme="majorHAnsi" w:hAnsiTheme="majorHAnsi" w:cs="Times New Roman"/>
          <w:lang w:val="el-GR"/>
        </w:rPr>
        <w:t xml:space="preserve"> σε συνδυασμό με </w:t>
      </w:r>
      <w:r w:rsidRPr="002F31CB">
        <w:rPr>
          <w:rFonts w:asciiTheme="majorHAnsi" w:hAnsiTheme="majorHAnsi" w:cs="Times New Roman"/>
          <w:lang w:val="el-GR"/>
        </w:rPr>
        <w:t>γλυκοκορτικοειδή</w:t>
      </w:r>
      <w:r w:rsidR="00A830BB" w:rsidRPr="002F31CB">
        <w:rPr>
          <w:rFonts w:asciiTheme="majorHAnsi" w:hAnsiTheme="majorHAnsi" w:cs="Times New Roman"/>
          <w:lang w:val="el-GR"/>
        </w:rPr>
        <w:t>.</w:t>
      </w:r>
    </w:p>
    <w:p w14:paraId="189681BE" w14:textId="77777777" w:rsidR="004A2043" w:rsidRDefault="004A2043"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Μυκοφαινολικό</w:t>
      </w:r>
      <w:r w:rsidR="004F5922" w:rsidRPr="002F31CB">
        <w:rPr>
          <w:rFonts w:asciiTheme="majorHAnsi" w:hAnsiTheme="majorHAnsi" w:cs="Times New Roman"/>
          <w:lang w:val="el-GR"/>
        </w:rPr>
        <w:t xml:space="preserve"> </w:t>
      </w:r>
      <w:r w:rsidRPr="002F31CB">
        <w:rPr>
          <w:rFonts w:asciiTheme="majorHAnsi" w:hAnsiTheme="majorHAnsi" w:cs="Times New Roman"/>
        </w:rPr>
        <w:t xml:space="preserve"> </w:t>
      </w:r>
      <w:r w:rsidR="000D346F" w:rsidRPr="002F31CB">
        <w:rPr>
          <w:rFonts w:asciiTheme="majorHAnsi" w:hAnsiTheme="majorHAnsi" w:cs="Times New Roman"/>
          <w:lang w:val="el-GR"/>
        </w:rPr>
        <w:t>(</w:t>
      </w:r>
      <w:r w:rsidR="000D346F" w:rsidRPr="002F31CB">
        <w:rPr>
          <w:rFonts w:asciiTheme="majorHAnsi" w:hAnsiTheme="majorHAnsi" w:cs="Times New Roman"/>
          <w:b/>
          <w:lang w:val="el-GR"/>
        </w:rPr>
        <w:t>δες §4</w:t>
      </w:r>
      <w:r w:rsidR="000D346F" w:rsidRPr="002F31CB">
        <w:rPr>
          <w:rFonts w:asciiTheme="majorHAnsi" w:hAnsiTheme="majorHAnsi" w:cs="Times New Roman"/>
          <w:lang w:val="el-GR"/>
        </w:rPr>
        <w:t>)</w:t>
      </w:r>
    </w:p>
    <w:p w14:paraId="713F3C68" w14:textId="77777777" w:rsidR="00FA36FA" w:rsidRPr="002F31CB" w:rsidRDefault="00FA36FA" w:rsidP="00FA36FA">
      <w:pPr>
        <w:pStyle w:val="ListParagraph"/>
        <w:tabs>
          <w:tab w:val="left" w:pos="284"/>
          <w:tab w:val="left" w:pos="567"/>
        </w:tabs>
        <w:ind w:left="284" w:right="1094"/>
        <w:contextualSpacing w:val="0"/>
        <w:jc w:val="both"/>
        <w:rPr>
          <w:rFonts w:asciiTheme="majorHAnsi" w:hAnsiTheme="majorHAnsi" w:cs="Times New Roman"/>
          <w:lang w:val="el-GR"/>
        </w:rPr>
      </w:pPr>
    </w:p>
    <w:p w14:paraId="60FC1FFA" w14:textId="77777777" w:rsidR="006651E5" w:rsidRPr="002F31CB" w:rsidRDefault="006651E5" w:rsidP="002F31CB">
      <w:pPr>
        <w:pStyle w:val="ListParagraph"/>
        <w:numPr>
          <w:ilvl w:val="1"/>
          <w:numId w:val="6"/>
        </w:numPr>
        <w:tabs>
          <w:tab w:val="left" w:pos="284"/>
          <w:tab w:val="left" w:pos="567"/>
        </w:tabs>
        <w:spacing w:after="120" w:line="360" w:lineRule="auto"/>
        <w:ind w:left="284" w:right="1093" w:firstLine="0"/>
        <w:contextualSpacing w:val="0"/>
        <w:jc w:val="both"/>
        <w:rPr>
          <w:rFonts w:asciiTheme="majorHAnsi" w:hAnsiTheme="majorHAnsi" w:cs="Times New Roman"/>
          <w:b/>
          <w:lang w:val="el-GR"/>
        </w:rPr>
      </w:pPr>
      <w:r w:rsidRPr="002F31CB">
        <w:rPr>
          <w:rFonts w:asciiTheme="majorHAnsi" w:hAnsiTheme="majorHAnsi" w:cs="Times New Roman"/>
          <w:lang w:val="el-GR"/>
        </w:rPr>
        <w:t xml:space="preserve">Επί </w:t>
      </w:r>
      <w:r w:rsidRPr="002F31CB">
        <w:rPr>
          <w:rFonts w:asciiTheme="majorHAnsi" w:hAnsiTheme="majorHAnsi" w:cs="Times New Roman"/>
          <w:b/>
          <w:u w:val="single"/>
          <w:lang w:val="el-GR"/>
        </w:rPr>
        <w:t>ανθεκτικής</w:t>
      </w:r>
      <w:r w:rsidR="00D83D97" w:rsidRPr="002F31CB">
        <w:rPr>
          <w:rFonts w:asciiTheme="majorHAnsi" w:hAnsiTheme="majorHAnsi" w:cs="Times New Roman"/>
          <w:b/>
          <w:u w:val="single"/>
          <w:lang w:val="el-GR"/>
        </w:rPr>
        <w:t>,</w:t>
      </w:r>
      <w:r w:rsidRPr="002F31CB">
        <w:rPr>
          <w:rFonts w:asciiTheme="majorHAnsi" w:hAnsiTheme="majorHAnsi" w:cs="Times New Roman"/>
          <w:b/>
          <w:u w:val="single"/>
          <w:lang w:val="el-GR"/>
        </w:rPr>
        <w:t xml:space="preserve"> ή </w:t>
      </w:r>
      <w:r w:rsidR="00B26314" w:rsidRPr="002F31CB">
        <w:rPr>
          <w:rFonts w:asciiTheme="majorHAnsi" w:hAnsiTheme="majorHAnsi" w:cs="Times New Roman"/>
          <w:b/>
          <w:u w:val="single"/>
          <w:lang w:val="el-GR"/>
        </w:rPr>
        <w:t xml:space="preserve">υπολειπόμενης (μερική </w:t>
      </w:r>
      <w:r w:rsidR="00D83D97" w:rsidRPr="002F31CB">
        <w:rPr>
          <w:rFonts w:asciiTheme="majorHAnsi" w:hAnsiTheme="majorHAnsi" w:cs="Times New Roman"/>
          <w:b/>
          <w:u w:val="single"/>
          <w:lang w:val="el-GR"/>
        </w:rPr>
        <w:t xml:space="preserve">κλινική </w:t>
      </w:r>
      <w:r w:rsidR="00B26314" w:rsidRPr="002F31CB">
        <w:rPr>
          <w:rFonts w:asciiTheme="majorHAnsi" w:hAnsiTheme="majorHAnsi" w:cs="Times New Roman"/>
          <w:b/>
          <w:u w:val="single"/>
          <w:lang w:val="el-GR"/>
        </w:rPr>
        <w:t>ανταπόκριση)</w:t>
      </w:r>
      <w:r w:rsidR="00D83D97" w:rsidRPr="002F31CB">
        <w:rPr>
          <w:rFonts w:asciiTheme="majorHAnsi" w:hAnsiTheme="majorHAnsi" w:cs="Times New Roman"/>
          <w:b/>
          <w:u w:val="single"/>
          <w:lang w:val="el-GR"/>
        </w:rPr>
        <w:t>,</w:t>
      </w:r>
      <w:r w:rsidR="00B26314" w:rsidRPr="002F31CB">
        <w:rPr>
          <w:rFonts w:asciiTheme="majorHAnsi" w:hAnsiTheme="majorHAnsi" w:cs="Times New Roman"/>
          <w:b/>
          <w:u w:val="single"/>
          <w:lang w:val="el-GR"/>
        </w:rPr>
        <w:t xml:space="preserve"> ή </w:t>
      </w:r>
      <w:r w:rsidRPr="002F31CB">
        <w:rPr>
          <w:rFonts w:asciiTheme="majorHAnsi" w:hAnsiTheme="majorHAnsi" w:cs="Times New Roman"/>
          <w:b/>
          <w:u w:val="single"/>
          <w:lang w:val="el-GR"/>
        </w:rPr>
        <w:t>υποτροπιάζουσας νόσου</w:t>
      </w:r>
      <w:r w:rsidRPr="002F31CB">
        <w:rPr>
          <w:rFonts w:asciiTheme="majorHAnsi" w:hAnsiTheme="majorHAnsi" w:cs="Times New Roman"/>
          <w:lang w:val="el-GR"/>
        </w:rPr>
        <w:t>, συνιστώνται ένα από τα κάτωθι</w:t>
      </w:r>
      <w:r w:rsidR="004A2043" w:rsidRPr="002F31CB">
        <w:rPr>
          <w:rFonts w:asciiTheme="majorHAnsi" w:hAnsiTheme="majorHAnsi" w:cs="Times New Roman"/>
          <w:lang w:val="el-GR"/>
        </w:rPr>
        <w:t xml:space="preserve"> (ως μονοθεραπεία ή συνδυαστική θεραπεία</w:t>
      </w:r>
      <w:r w:rsidR="00F56EB3" w:rsidRPr="002F31CB">
        <w:rPr>
          <w:rFonts w:asciiTheme="majorHAnsi" w:hAnsiTheme="majorHAnsi" w:cs="Times New Roman"/>
          <w:lang w:val="el-GR"/>
        </w:rPr>
        <w:t xml:space="preserve"> με άλλο ανοσοκατασταλτικό παράγοντα</w:t>
      </w:r>
      <w:r w:rsidR="004A2043" w:rsidRPr="002F31CB">
        <w:rPr>
          <w:rFonts w:asciiTheme="majorHAnsi" w:hAnsiTheme="majorHAnsi" w:cs="Times New Roman"/>
          <w:lang w:val="el-GR"/>
        </w:rPr>
        <w:t>)</w:t>
      </w:r>
      <w:r w:rsidRPr="002F31CB">
        <w:rPr>
          <w:rFonts w:asciiTheme="majorHAnsi" w:hAnsiTheme="majorHAnsi" w:cs="Times New Roman"/>
          <w:lang w:val="el-GR"/>
        </w:rPr>
        <w:t>:</w:t>
      </w:r>
    </w:p>
    <w:p w14:paraId="43639E60" w14:textId="77777777" w:rsidR="006651E5" w:rsidRPr="002F31CB" w:rsidRDefault="006651E5"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Χρήση άλλου ανοσοτροποποιητικού/ανοσοκατασταλτικού παράγοντα από αυτόν που χρησιμοποιήθηκε αρχικά</w:t>
      </w:r>
    </w:p>
    <w:p w14:paraId="5FBF9992" w14:textId="77777777" w:rsidR="006651E5" w:rsidRPr="002F31CB" w:rsidRDefault="006651E5"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Κυκλοσπορίνη</w:t>
      </w:r>
      <w:r w:rsidR="004F5922" w:rsidRPr="002F31CB">
        <w:rPr>
          <w:rFonts w:asciiTheme="majorHAnsi" w:hAnsiTheme="majorHAnsi" w:cs="Times New Roman"/>
          <w:lang w:val="el-GR"/>
        </w:rPr>
        <w:t xml:space="preserve"> </w:t>
      </w:r>
      <w:r w:rsidRPr="002F31CB">
        <w:rPr>
          <w:rFonts w:asciiTheme="majorHAnsi" w:hAnsiTheme="majorHAnsi" w:cs="Times New Roman"/>
        </w:rPr>
        <w:t xml:space="preserve"> </w:t>
      </w:r>
      <w:r w:rsidR="000D346F" w:rsidRPr="002F31CB">
        <w:rPr>
          <w:rFonts w:asciiTheme="majorHAnsi" w:hAnsiTheme="majorHAnsi" w:cs="Times New Roman"/>
          <w:lang w:val="el-GR"/>
        </w:rPr>
        <w:t>(</w:t>
      </w:r>
      <w:r w:rsidR="000D346F" w:rsidRPr="002F31CB">
        <w:rPr>
          <w:rFonts w:asciiTheme="majorHAnsi" w:hAnsiTheme="majorHAnsi" w:cs="Times New Roman"/>
          <w:b/>
          <w:lang w:val="el-GR"/>
        </w:rPr>
        <w:t>δες §4</w:t>
      </w:r>
      <w:r w:rsidR="000D346F" w:rsidRPr="002F31CB">
        <w:rPr>
          <w:rFonts w:asciiTheme="majorHAnsi" w:hAnsiTheme="majorHAnsi" w:cs="Times New Roman"/>
          <w:lang w:val="el-GR"/>
        </w:rPr>
        <w:t>)</w:t>
      </w:r>
    </w:p>
    <w:p w14:paraId="547367EE" w14:textId="77777777" w:rsidR="005E0B93" w:rsidRPr="002F31CB" w:rsidRDefault="005E0B93"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rPr>
        <w:t>Tacrolimus</w:t>
      </w:r>
      <w:r w:rsidR="004F5922" w:rsidRPr="002F31CB">
        <w:rPr>
          <w:rFonts w:asciiTheme="majorHAnsi" w:hAnsiTheme="majorHAnsi" w:cs="Times New Roman"/>
          <w:lang w:val="el-GR"/>
        </w:rPr>
        <w:t xml:space="preserve"> </w:t>
      </w:r>
      <w:r w:rsidRPr="002F31CB">
        <w:rPr>
          <w:rFonts w:asciiTheme="majorHAnsi" w:hAnsiTheme="majorHAnsi" w:cs="Times New Roman"/>
        </w:rPr>
        <w:t xml:space="preserve"> </w:t>
      </w:r>
      <w:r w:rsidR="000D346F" w:rsidRPr="002F31CB">
        <w:rPr>
          <w:rFonts w:asciiTheme="majorHAnsi" w:hAnsiTheme="majorHAnsi" w:cs="Times New Roman"/>
          <w:lang w:val="el-GR"/>
        </w:rPr>
        <w:t>(</w:t>
      </w:r>
      <w:r w:rsidR="000D346F" w:rsidRPr="002F31CB">
        <w:rPr>
          <w:rFonts w:asciiTheme="majorHAnsi" w:hAnsiTheme="majorHAnsi" w:cs="Times New Roman"/>
          <w:b/>
          <w:lang w:val="el-GR"/>
        </w:rPr>
        <w:t>δες §4</w:t>
      </w:r>
      <w:r w:rsidR="000D346F" w:rsidRPr="002F31CB">
        <w:rPr>
          <w:rFonts w:asciiTheme="majorHAnsi" w:hAnsiTheme="majorHAnsi" w:cs="Times New Roman"/>
          <w:lang w:val="el-GR"/>
        </w:rPr>
        <w:t>)</w:t>
      </w:r>
    </w:p>
    <w:p w14:paraId="6A66F2E5" w14:textId="77777777" w:rsidR="006651E5" w:rsidRPr="002F31CB" w:rsidRDefault="000D346F"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Belimumab</w:t>
      </w:r>
      <w:r w:rsidR="006651E5" w:rsidRPr="002F31CB">
        <w:rPr>
          <w:rFonts w:asciiTheme="majorHAnsi" w:hAnsiTheme="majorHAnsi" w:cs="Times New Roman"/>
          <w:b/>
          <w:lang w:val="el-GR"/>
        </w:rPr>
        <w:t xml:space="preserve"> </w:t>
      </w:r>
      <w:r w:rsidR="006651E5" w:rsidRPr="002F31CB">
        <w:rPr>
          <w:rFonts w:asciiTheme="majorHAnsi" w:hAnsiTheme="majorHAnsi" w:cs="Times New Roman"/>
          <w:lang w:val="el-GR"/>
        </w:rPr>
        <w:t xml:space="preserve"> </w:t>
      </w:r>
      <w:r w:rsidRPr="002F31CB">
        <w:rPr>
          <w:rFonts w:asciiTheme="majorHAnsi" w:hAnsiTheme="majorHAnsi" w:cs="Times New Roman"/>
          <w:lang w:val="el-GR"/>
        </w:rPr>
        <w:t>(</w:t>
      </w:r>
      <w:r w:rsidRPr="002F31CB">
        <w:rPr>
          <w:rFonts w:asciiTheme="majorHAnsi" w:hAnsiTheme="majorHAnsi" w:cs="Times New Roman"/>
          <w:b/>
          <w:lang w:val="el-GR"/>
        </w:rPr>
        <w:t>δες §4</w:t>
      </w:r>
      <w:r w:rsidRPr="002F31CB">
        <w:rPr>
          <w:rFonts w:asciiTheme="majorHAnsi" w:hAnsiTheme="majorHAnsi" w:cs="Times New Roman"/>
          <w:lang w:val="el-GR"/>
        </w:rPr>
        <w:t>)</w:t>
      </w:r>
    </w:p>
    <w:p w14:paraId="0A812871" w14:textId="77777777" w:rsidR="004A2043" w:rsidRPr="002F31CB" w:rsidRDefault="004A2043" w:rsidP="002F31CB">
      <w:pPr>
        <w:pStyle w:val="ListParagraph"/>
        <w:numPr>
          <w:ilvl w:val="0"/>
          <w:numId w:val="9"/>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rPr>
        <w:t>Rituximab</w:t>
      </w:r>
      <w:r w:rsidRPr="002F31CB">
        <w:rPr>
          <w:rFonts w:asciiTheme="majorHAnsi" w:hAnsiTheme="majorHAnsi" w:cs="Times New Roman"/>
          <w:b/>
          <w:lang w:val="el-GR"/>
        </w:rPr>
        <w:t>.</w:t>
      </w:r>
      <w:r w:rsidRPr="002F31CB">
        <w:rPr>
          <w:rFonts w:asciiTheme="majorHAnsi" w:hAnsiTheme="majorHAnsi" w:cs="Times New Roman"/>
          <w:lang w:val="el-GR"/>
        </w:rPr>
        <w:t xml:space="preserve"> Ενδοφλέβια έγχυση 1000 </w:t>
      </w:r>
      <w:r w:rsidRPr="002F31CB">
        <w:rPr>
          <w:rFonts w:asciiTheme="majorHAnsi" w:hAnsiTheme="majorHAnsi" w:cs="Times New Roman"/>
        </w:rPr>
        <w:t>mg</w:t>
      </w:r>
      <w:r w:rsidRPr="002F31CB">
        <w:rPr>
          <w:rFonts w:asciiTheme="majorHAnsi" w:hAnsiTheme="majorHAnsi" w:cs="Times New Roman"/>
          <w:lang w:val="el-GR"/>
        </w:rPr>
        <w:t xml:space="preserve"> τις ημέρες 0 και 14 (1 κύκλος θεραπείας). Δυνατότητα για επανάληψη του κύκλου ανά 24 εβδομάδες ή/και με βάση την κλινική ανταπόκριση (όχι πριν τις 16 εβδομάδες από τον προηγούμενο κύκλο)</w:t>
      </w:r>
      <w:r w:rsidR="000D346F" w:rsidRPr="002F31CB">
        <w:rPr>
          <w:rFonts w:asciiTheme="majorHAnsi" w:hAnsiTheme="majorHAnsi" w:cs="Times New Roman"/>
          <w:lang w:val="el-GR"/>
        </w:rPr>
        <w:t xml:space="preserve">. </w:t>
      </w:r>
      <w:r w:rsidR="000D346F" w:rsidRPr="002F31CB">
        <w:rPr>
          <w:rFonts w:asciiTheme="majorHAnsi" w:hAnsiTheme="majorHAnsi" w:cs="Times New Roman"/>
          <w:u w:val="single"/>
          <w:lang w:val="el-GR"/>
        </w:rPr>
        <w:t>Προτιμάται</w:t>
      </w:r>
      <w:r w:rsidR="000D346F" w:rsidRPr="002F31CB">
        <w:rPr>
          <w:rFonts w:asciiTheme="majorHAnsi" w:hAnsiTheme="majorHAnsi" w:cs="Times New Roman"/>
          <w:lang w:val="el-GR"/>
        </w:rPr>
        <w:t xml:space="preserve"> κυρίως σε νεφρίτιδα, αιματολογικές, </w:t>
      </w:r>
      <w:r w:rsidR="00D83D97" w:rsidRPr="002F31CB">
        <w:rPr>
          <w:rFonts w:asciiTheme="majorHAnsi" w:hAnsiTheme="majorHAnsi" w:cs="Times New Roman"/>
          <w:lang w:val="el-GR"/>
        </w:rPr>
        <w:t>βλεννογονο</w:t>
      </w:r>
      <w:r w:rsidR="000D346F" w:rsidRPr="002F31CB">
        <w:rPr>
          <w:rFonts w:asciiTheme="majorHAnsi" w:hAnsiTheme="majorHAnsi" w:cs="Times New Roman"/>
          <w:lang w:val="el-GR"/>
        </w:rPr>
        <w:t>δερματικές, μυοσκελετικές, συστηματικές και νευροψυχιατρικές εκδηλώσεις.</w:t>
      </w:r>
    </w:p>
    <w:p w14:paraId="17F92416" w14:textId="77777777" w:rsidR="004A2043" w:rsidRPr="002F31CB" w:rsidRDefault="004A2043" w:rsidP="002F31CB">
      <w:pPr>
        <w:tabs>
          <w:tab w:val="left" w:pos="284"/>
          <w:tab w:val="left" w:pos="567"/>
        </w:tabs>
        <w:spacing w:after="120" w:line="360" w:lineRule="auto"/>
        <w:ind w:left="284" w:right="1093"/>
        <w:jc w:val="both"/>
        <w:rPr>
          <w:rFonts w:asciiTheme="majorHAnsi" w:hAnsiTheme="majorHAnsi" w:cs="Times New Roman"/>
          <w:lang w:val="el-GR"/>
        </w:rPr>
      </w:pPr>
    </w:p>
    <w:p w14:paraId="4BEA19D6" w14:textId="77777777" w:rsidR="0034213E" w:rsidRPr="002F31CB" w:rsidRDefault="004A2043" w:rsidP="002F31CB">
      <w:pPr>
        <w:pStyle w:val="ListParagraph"/>
        <w:numPr>
          <w:ilvl w:val="0"/>
          <w:numId w:val="6"/>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 xml:space="preserve">Ανάλογα με την κλινική εκδήλωση ή την χορηγούμενη ανοσοκατασταλτική θεραπεία, οι κάτωθι </w:t>
      </w:r>
      <w:r w:rsidRPr="002F31CB">
        <w:rPr>
          <w:rFonts w:asciiTheme="majorHAnsi" w:hAnsiTheme="majorHAnsi" w:cs="Times New Roman"/>
          <w:b/>
          <w:u w:val="single"/>
          <w:lang w:val="el-GR"/>
        </w:rPr>
        <w:t>συμπληρωματικές θεραπείες</w:t>
      </w:r>
      <w:r w:rsidRPr="002F31CB">
        <w:rPr>
          <w:rFonts w:asciiTheme="majorHAnsi" w:hAnsiTheme="majorHAnsi" w:cs="Times New Roman"/>
          <w:lang w:val="el-GR"/>
        </w:rPr>
        <w:t xml:space="preserve"> δύναται να χορηγηθούν</w:t>
      </w:r>
    </w:p>
    <w:p w14:paraId="6EEE0945" w14:textId="77777777" w:rsidR="002E2838" w:rsidRPr="002F31CB" w:rsidRDefault="002E2838" w:rsidP="002F31CB">
      <w:pPr>
        <w:pStyle w:val="ListParagraph"/>
        <w:numPr>
          <w:ilvl w:val="0"/>
          <w:numId w:val="13"/>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Ανθρώπινη φυσιολογική ανοσοσφαιρίνη (</w:t>
      </w:r>
      <w:r w:rsidRPr="002F31CB">
        <w:rPr>
          <w:rFonts w:asciiTheme="majorHAnsi" w:hAnsiTheme="majorHAnsi" w:cs="Times New Roman"/>
          <w:b/>
        </w:rPr>
        <w:t>IVIG</w:t>
      </w:r>
      <w:r w:rsidRPr="002F31CB">
        <w:rPr>
          <w:rFonts w:asciiTheme="majorHAnsi" w:hAnsiTheme="majorHAnsi" w:cs="Times New Roman"/>
          <w:b/>
          <w:lang w:val="el-GR"/>
        </w:rPr>
        <w:t>)</w:t>
      </w:r>
      <w:r w:rsidRPr="002F31CB">
        <w:rPr>
          <w:rFonts w:asciiTheme="majorHAnsi" w:hAnsiTheme="majorHAnsi" w:cs="Times New Roman"/>
          <w:lang w:val="el-GR"/>
        </w:rPr>
        <w:t xml:space="preserve"> (ενδοφλέβια). Ενδείξεις: αυτοάνοση θρομβοπενία (λιγότερα στοιχεία για την αυτοάνοση αιμολυτική αναιμία). Δοσολογία: 0.4 </w:t>
      </w:r>
      <w:r w:rsidRPr="002F31CB">
        <w:rPr>
          <w:rFonts w:asciiTheme="majorHAnsi" w:hAnsiTheme="majorHAnsi" w:cs="Times New Roman"/>
        </w:rPr>
        <w:t>g</w:t>
      </w:r>
      <w:r w:rsidRPr="002F31CB">
        <w:rPr>
          <w:rFonts w:asciiTheme="majorHAnsi" w:hAnsiTheme="majorHAnsi" w:cs="Times New Roman"/>
          <w:lang w:val="el-GR"/>
        </w:rPr>
        <w:t>/</w:t>
      </w:r>
      <w:r w:rsidRPr="002F31CB">
        <w:rPr>
          <w:rFonts w:asciiTheme="majorHAnsi" w:hAnsiTheme="majorHAnsi" w:cs="Times New Roman"/>
        </w:rPr>
        <w:t>kg</w:t>
      </w:r>
      <w:r w:rsidRPr="002F31CB">
        <w:rPr>
          <w:rFonts w:asciiTheme="majorHAnsi" w:hAnsiTheme="majorHAnsi" w:cs="Times New Roman"/>
          <w:lang w:val="el-GR"/>
        </w:rPr>
        <w:t>/ημέρα επί 5 συνεχόμενες ημέρες (αργή ενδοφλέβια έγχυση)</w:t>
      </w:r>
    </w:p>
    <w:p w14:paraId="3CE696CD" w14:textId="77777777" w:rsidR="004A2043" w:rsidRPr="002F31CB" w:rsidRDefault="002E2838" w:rsidP="002F31CB">
      <w:pPr>
        <w:pStyle w:val="ListParagraph"/>
        <w:numPr>
          <w:ilvl w:val="0"/>
          <w:numId w:val="13"/>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Προστασία από αιμορραγική κυστίτιδα κατά τη χορήγηση κυκλοφωσφαμίδης:</w:t>
      </w:r>
      <w:r w:rsidRPr="002F31CB">
        <w:rPr>
          <w:rFonts w:asciiTheme="majorHAnsi" w:hAnsiTheme="majorHAnsi" w:cs="Times New Roman"/>
          <w:lang w:val="el-GR"/>
        </w:rPr>
        <w:t xml:space="preserve"> α) επαρκής ενυδάτωση (με από του στόματος ή/και ενδοφλέβια υγρά) και διούρηση,  β) mesna (per os ή ενδοφλέβια) σε δοσολογία 20% της δόσης κυκλοφωσφαμίδης στις 0, 2, 4 και 6 ώρες μετά τη χορήγηση κυκλοφωσφαμίδης.</w:t>
      </w:r>
    </w:p>
    <w:p w14:paraId="7533FE53" w14:textId="77777777" w:rsidR="002E2838" w:rsidRPr="002F31CB" w:rsidRDefault="002E2838" w:rsidP="002F31CB">
      <w:pPr>
        <w:pStyle w:val="ListParagraph"/>
        <w:numPr>
          <w:ilvl w:val="0"/>
          <w:numId w:val="13"/>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Προστασία των γονάδων κατά τη χορήγηση κυκλοφωσφαμίδης:</w:t>
      </w:r>
      <w:r w:rsidRPr="002F31CB">
        <w:rPr>
          <w:rFonts w:asciiTheme="majorHAnsi" w:hAnsiTheme="majorHAnsi" w:cs="Times New Roman"/>
          <w:lang w:val="el-GR"/>
        </w:rPr>
        <w:t xml:space="preserve"> α) Θήλεα: </w:t>
      </w:r>
      <w:r w:rsidRPr="002F31CB">
        <w:rPr>
          <w:rFonts w:asciiTheme="majorHAnsi" w:hAnsiTheme="majorHAnsi" w:cs="Times New Roman"/>
        </w:rPr>
        <w:t>leuprolide</w:t>
      </w:r>
      <w:r w:rsidRPr="002F31CB">
        <w:rPr>
          <w:rFonts w:asciiTheme="majorHAnsi" w:hAnsiTheme="majorHAnsi" w:cs="Times New Roman"/>
          <w:lang w:val="el-GR"/>
        </w:rPr>
        <w:t xml:space="preserve"> (</w:t>
      </w:r>
      <w:r w:rsidRPr="002F31CB">
        <w:rPr>
          <w:rFonts w:asciiTheme="majorHAnsi" w:hAnsiTheme="majorHAnsi" w:cs="Times New Roman"/>
        </w:rPr>
        <w:t>leuprorelin</w:t>
      </w:r>
      <w:r w:rsidRPr="002F31CB">
        <w:rPr>
          <w:rFonts w:asciiTheme="majorHAnsi" w:hAnsiTheme="majorHAnsi" w:cs="Times New Roman"/>
          <w:lang w:val="el-GR"/>
        </w:rPr>
        <w:t xml:space="preserve"> </w:t>
      </w:r>
      <w:r w:rsidRPr="002F31CB">
        <w:rPr>
          <w:rFonts w:asciiTheme="majorHAnsi" w:hAnsiTheme="majorHAnsi" w:cs="Times New Roman"/>
        </w:rPr>
        <w:t>acetate</w:t>
      </w:r>
      <w:r w:rsidRPr="002F31CB">
        <w:rPr>
          <w:rFonts w:asciiTheme="majorHAnsi" w:hAnsiTheme="majorHAnsi" w:cs="Times New Roman"/>
          <w:lang w:val="el-GR"/>
        </w:rPr>
        <w:t xml:space="preserve">) (υποδόρια) 3.75 </w:t>
      </w:r>
      <w:r w:rsidRPr="002F31CB">
        <w:rPr>
          <w:rFonts w:asciiTheme="majorHAnsi" w:hAnsiTheme="majorHAnsi" w:cs="Times New Roman"/>
        </w:rPr>
        <w:t>mg</w:t>
      </w:r>
      <w:r w:rsidRPr="002F31CB">
        <w:rPr>
          <w:rFonts w:asciiTheme="majorHAnsi" w:hAnsiTheme="majorHAnsi" w:cs="Times New Roman"/>
          <w:lang w:val="el-GR"/>
        </w:rPr>
        <w:t xml:space="preserve"> με χορήγηση 2 εβδομάδες πριν κάθε ώση κυκλοφωσφαμίδης,  β) Άνδρες: τεστοστερόνη (ενδομυϊκά) 100 </w:t>
      </w:r>
      <w:r w:rsidRPr="002F31CB">
        <w:rPr>
          <w:rFonts w:asciiTheme="majorHAnsi" w:hAnsiTheme="majorHAnsi" w:cs="Times New Roman"/>
        </w:rPr>
        <w:t>mg</w:t>
      </w:r>
      <w:r w:rsidRPr="002F31CB">
        <w:rPr>
          <w:rFonts w:asciiTheme="majorHAnsi" w:hAnsiTheme="majorHAnsi" w:cs="Times New Roman"/>
          <w:lang w:val="el-GR"/>
        </w:rPr>
        <w:t xml:space="preserve"> ανά 2 εβδομάδες</w:t>
      </w:r>
    </w:p>
    <w:p w14:paraId="66B0BDC5" w14:textId="77777777" w:rsidR="002E2838" w:rsidRPr="002F31CB" w:rsidRDefault="002E2838" w:rsidP="002F31CB">
      <w:pPr>
        <w:pStyle w:val="ListParagraph"/>
        <w:numPr>
          <w:ilvl w:val="0"/>
          <w:numId w:val="13"/>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b/>
          <w:lang w:val="el-GR"/>
        </w:rPr>
        <w:t xml:space="preserve">Πλασμαφαίρεση. </w:t>
      </w:r>
      <w:r w:rsidRPr="002F31CB">
        <w:rPr>
          <w:rFonts w:asciiTheme="majorHAnsi" w:hAnsiTheme="majorHAnsi" w:cs="Times New Roman"/>
          <w:lang w:val="el-GR"/>
        </w:rPr>
        <w:t>Ενδείξεις: σοβαρές, απειλητικές για τη ζωή εκδηλώσεις όπως θρομβωτική θρομβοπενική πορφύρα [ΤΤΡ]/ΤΤΡ-</w:t>
      </w:r>
      <w:r w:rsidRPr="002F31CB">
        <w:rPr>
          <w:rFonts w:asciiTheme="majorHAnsi" w:hAnsiTheme="majorHAnsi" w:cs="Times New Roman"/>
        </w:rPr>
        <w:t>like</w:t>
      </w:r>
      <w:r w:rsidRPr="002F31CB">
        <w:rPr>
          <w:rFonts w:asciiTheme="majorHAnsi" w:hAnsiTheme="majorHAnsi" w:cs="Times New Roman"/>
          <w:lang w:val="el-GR"/>
        </w:rPr>
        <w:t xml:space="preserve">, σοβαρή κυψελιδική αιμορραγία, καταστροφικό αντιφωσφολιπιδικό σύνδρομο. Δοσολογία: 1–1.5 ολικού όγκου πλάσματος (TPV) ανά συνεδρία. Συχνότητα: Μία συνεδρία ημερησίως ή μέρα παρ’ ημέρα (αναλόγως βαρύτητας). Η πλασμαφαίρεση πρέπει να γίνεται </w:t>
      </w:r>
      <w:r w:rsidR="001E02A5" w:rsidRPr="002F31CB">
        <w:rPr>
          <w:rFonts w:asciiTheme="majorHAnsi" w:hAnsiTheme="majorHAnsi" w:cs="Times New Roman"/>
          <w:lang w:val="el-GR"/>
        </w:rPr>
        <w:t>κατά προτίμησ</w:t>
      </w:r>
      <w:r w:rsidR="00D83D97" w:rsidRPr="002F31CB">
        <w:rPr>
          <w:rFonts w:asciiTheme="majorHAnsi" w:hAnsiTheme="majorHAnsi" w:cs="Times New Roman"/>
          <w:lang w:val="el-GR"/>
        </w:rPr>
        <w:t>η</w:t>
      </w:r>
      <w:r w:rsidR="001E02A5" w:rsidRPr="002F31CB">
        <w:rPr>
          <w:rFonts w:asciiTheme="majorHAnsi" w:hAnsiTheme="majorHAnsi" w:cs="Times New Roman"/>
          <w:lang w:val="el-GR"/>
        </w:rPr>
        <w:t xml:space="preserve"> </w:t>
      </w:r>
      <w:r w:rsidRPr="002F31CB">
        <w:rPr>
          <w:rFonts w:asciiTheme="majorHAnsi" w:hAnsiTheme="majorHAnsi" w:cs="Times New Roman"/>
          <w:lang w:val="el-GR"/>
        </w:rPr>
        <w:t>σε εξειδικευμένα νοσηλευτικά κέντρα με εμπειρία στην εφαρμογή της μεθόδου</w:t>
      </w:r>
    </w:p>
    <w:p w14:paraId="256D2614" w14:textId="77777777" w:rsidR="002E2838" w:rsidRPr="002F31CB" w:rsidRDefault="002E2838" w:rsidP="002F31CB">
      <w:pPr>
        <w:tabs>
          <w:tab w:val="left" w:pos="284"/>
          <w:tab w:val="left" w:pos="567"/>
        </w:tabs>
        <w:spacing w:after="120" w:line="360" w:lineRule="auto"/>
        <w:ind w:left="284" w:right="1093"/>
        <w:jc w:val="both"/>
        <w:rPr>
          <w:rFonts w:asciiTheme="majorHAnsi" w:hAnsiTheme="majorHAnsi" w:cs="Times New Roman"/>
          <w:lang w:val="el-GR"/>
        </w:rPr>
      </w:pPr>
    </w:p>
    <w:p w14:paraId="675A9C3D" w14:textId="77777777" w:rsidR="004A2043" w:rsidRPr="002F31CB" w:rsidRDefault="000004E6" w:rsidP="002F31CB">
      <w:pPr>
        <w:pStyle w:val="ListParagraph"/>
        <w:numPr>
          <w:ilvl w:val="0"/>
          <w:numId w:val="6"/>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 xml:space="preserve">Σε ασθενείς ΣΕΛ με νεφρίτιδα, παράλληλα με την ανοσοκατασταλτική θεραπεία, είναι σημαντική η </w:t>
      </w:r>
      <w:r w:rsidRPr="002F31CB">
        <w:rPr>
          <w:rFonts w:asciiTheme="majorHAnsi" w:hAnsiTheme="majorHAnsi" w:cs="Times New Roman"/>
          <w:b/>
          <w:lang w:val="el-GR"/>
        </w:rPr>
        <w:t xml:space="preserve">πρόληψη και έγκαιρη αντιμετώπιση </w:t>
      </w:r>
      <w:r w:rsidRPr="002F31CB">
        <w:rPr>
          <w:rFonts w:asciiTheme="majorHAnsi" w:hAnsiTheme="majorHAnsi" w:cs="Times New Roman"/>
          <w:b/>
          <w:u w:val="single"/>
          <w:lang w:val="el-GR"/>
        </w:rPr>
        <w:t>συννοσηροτήτων</w:t>
      </w:r>
      <w:r w:rsidRPr="002F31CB">
        <w:rPr>
          <w:rFonts w:asciiTheme="majorHAnsi" w:hAnsiTheme="majorHAnsi" w:cs="Times New Roman"/>
          <w:lang w:val="el-GR"/>
        </w:rPr>
        <w:t>. Πιο ειδικά, συνιστώνται:</w:t>
      </w:r>
    </w:p>
    <w:p w14:paraId="1A28BB3C" w14:textId="77777777" w:rsidR="000004E6" w:rsidRPr="002F31CB" w:rsidRDefault="000004E6" w:rsidP="002F31CB">
      <w:pPr>
        <w:pStyle w:val="ListParagraph"/>
        <w:numPr>
          <w:ilvl w:val="0"/>
          <w:numId w:val="14"/>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Αναστολείς του άξονα ρενίνη-αγγειοτενσίνη-αλδοστερόνη για αντι-πρωτεϊνουρική δράση ή/και τη ρύθμιση της αρτηριακής πίεσης σε επίπεδα &lt;130/80 mmΗg</w:t>
      </w:r>
    </w:p>
    <w:p w14:paraId="27A3B5EE" w14:textId="77777777" w:rsidR="000004E6" w:rsidRPr="002F31CB" w:rsidRDefault="000004E6" w:rsidP="002F31CB">
      <w:pPr>
        <w:pStyle w:val="ListParagraph"/>
        <w:numPr>
          <w:ilvl w:val="0"/>
          <w:numId w:val="14"/>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 xml:space="preserve">Έλεγχος των καρδιαγγειακών παραγόντων κινδύνου </w:t>
      </w:r>
      <w:r w:rsidR="00475478" w:rsidRPr="002F31CB">
        <w:rPr>
          <w:rFonts w:asciiTheme="majorHAnsi" w:hAnsiTheme="majorHAnsi" w:cs="Times New Roman"/>
          <w:lang w:val="el-GR"/>
        </w:rPr>
        <w:t>(αρτηριακή υπέρταση, δυσλιπιδαιμία, υπεργλυκαιμία, κάπνισμα, έλεγχος σωματικού βάρους)</w:t>
      </w:r>
    </w:p>
    <w:p w14:paraId="4E8729BA" w14:textId="77777777" w:rsidR="000004E6" w:rsidRPr="002F31CB" w:rsidRDefault="000004E6" w:rsidP="002F31CB">
      <w:pPr>
        <w:pStyle w:val="ListParagraph"/>
        <w:numPr>
          <w:ilvl w:val="0"/>
          <w:numId w:val="14"/>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Αντιμετώπιση των επιπλοκών της χρονίας νεφρικής νόσου</w:t>
      </w:r>
    </w:p>
    <w:p w14:paraId="32589C3D" w14:textId="77777777" w:rsidR="000004E6" w:rsidRPr="002F31CB" w:rsidRDefault="000004E6" w:rsidP="002F31CB">
      <w:pPr>
        <w:pStyle w:val="ListParagraph"/>
        <w:numPr>
          <w:ilvl w:val="0"/>
          <w:numId w:val="14"/>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Οστεο-προστασία με χορήγηση ασβεστίου, βιταμίνης D και διφωσφονικών παραγόντων (αντένδειξη σε ρυθμό σπειραματικής διήθησης &lt;30 ml/min/1.73m</w:t>
      </w:r>
      <w:r w:rsidRPr="002F31CB">
        <w:rPr>
          <w:rFonts w:asciiTheme="majorHAnsi" w:hAnsiTheme="majorHAnsi" w:cs="Times New Roman"/>
          <w:vertAlign w:val="superscript"/>
          <w:lang w:val="el-GR"/>
        </w:rPr>
        <w:t>2</w:t>
      </w:r>
      <w:r w:rsidRPr="002F31CB">
        <w:rPr>
          <w:rFonts w:asciiTheme="majorHAnsi" w:hAnsiTheme="majorHAnsi" w:cs="Times New Roman"/>
          <w:lang w:val="el-GR"/>
        </w:rPr>
        <w:t>)</w:t>
      </w:r>
    </w:p>
    <w:p w14:paraId="0C6E9792" w14:textId="77777777" w:rsidR="000004E6" w:rsidRPr="002F31CB" w:rsidRDefault="000004E6" w:rsidP="002F31CB">
      <w:pPr>
        <w:pStyle w:val="ListParagraph"/>
        <w:numPr>
          <w:ilvl w:val="0"/>
          <w:numId w:val="14"/>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Αντιπηκτική αγωγή (σε αντιφωσφολιπιδικό σύνδρομο, σοβαρό νεφρωσικό σύνδρομο με υπαλβουμιναιμία &lt;2.5 mg/dL ή συνύπαρξη άλλων θρομβοφιλικών παραγόντων)</w:t>
      </w:r>
    </w:p>
    <w:p w14:paraId="09B9737D" w14:textId="77777777" w:rsidR="000004E6" w:rsidRPr="002F31CB" w:rsidRDefault="000004E6" w:rsidP="002F31CB">
      <w:pPr>
        <w:pStyle w:val="ListParagraph"/>
        <w:numPr>
          <w:ilvl w:val="0"/>
          <w:numId w:val="14"/>
        </w:numPr>
        <w:tabs>
          <w:tab w:val="left" w:pos="284"/>
          <w:tab w:val="left" w:pos="567"/>
        </w:tabs>
        <w:spacing w:after="120" w:line="360" w:lineRule="auto"/>
        <w:ind w:left="284" w:right="1093" w:firstLine="0"/>
        <w:contextualSpacing w:val="0"/>
        <w:jc w:val="both"/>
        <w:rPr>
          <w:rFonts w:asciiTheme="majorHAnsi" w:hAnsiTheme="majorHAnsi" w:cs="Times New Roman"/>
          <w:lang w:val="el-GR"/>
        </w:rPr>
      </w:pPr>
      <w:r w:rsidRPr="002F31CB">
        <w:rPr>
          <w:rFonts w:asciiTheme="majorHAnsi" w:hAnsiTheme="majorHAnsi" w:cs="Times New Roman"/>
          <w:lang w:val="el-GR"/>
        </w:rPr>
        <w:t xml:space="preserve">Έλεγχος του κινδύνου λοιμώξεων &amp; εμβολιασμοί. </w:t>
      </w:r>
    </w:p>
    <w:p w14:paraId="2A9045C6" w14:textId="77777777" w:rsidR="003C3BE9" w:rsidRPr="002F31CB" w:rsidRDefault="003C3BE9" w:rsidP="002F31CB">
      <w:pPr>
        <w:spacing w:after="120" w:line="360" w:lineRule="auto"/>
        <w:ind w:right="1093"/>
        <w:rPr>
          <w:rFonts w:asciiTheme="majorHAnsi" w:hAnsiTheme="majorHAnsi" w:cs="Times New Roman"/>
          <w:b/>
          <w:lang w:val="el-GR"/>
        </w:rPr>
      </w:pPr>
      <w:r w:rsidRPr="002F31CB">
        <w:rPr>
          <w:rFonts w:asciiTheme="majorHAnsi" w:hAnsiTheme="majorHAnsi" w:cs="Times New Roman"/>
          <w:b/>
          <w:lang w:val="el-GR"/>
        </w:rPr>
        <w:br w:type="page"/>
      </w:r>
    </w:p>
    <w:p w14:paraId="203CE064" w14:textId="77777777" w:rsidR="0079420C" w:rsidRPr="001660D3" w:rsidRDefault="0079420C" w:rsidP="0079420C">
      <w:pPr>
        <w:spacing w:after="120" w:line="360" w:lineRule="auto"/>
        <w:ind w:left="567" w:right="1093"/>
        <w:jc w:val="both"/>
        <w:rPr>
          <w:rFonts w:asciiTheme="majorHAnsi" w:hAnsiTheme="majorHAnsi" w:cs="Times New Roman"/>
          <w:b/>
        </w:rPr>
      </w:pPr>
      <w:r w:rsidRPr="001660D3">
        <w:rPr>
          <w:rFonts w:asciiTheme="majorHAnsi" w:hAnsiTheme="majorHAnsi" w:cs="Times New Roman"/>
          <w:b/>
        </w:rPr>
        <w:t>Abstract</w:t>
      </w:r>
    </w:p>
    <w:p w14:paraId="5A791499" w14:textId="77777777" w:rsidR="0079420C" w:rsidRPr="0079420C" w:rsidRDefault="0079420C" w:rsidP="0079420C">
      <w:pPr>
        <w:spacing w:after="120" w:line="360" w:lineRule="auto"/>
        <w:ind w:left="567" w:right="1093"/>
        <w:jc w:val="both"/>
        <w:rPr>
          <w:rFonts w:asciiTheme="majorHAnsi" w:hAnsiTheme="majorHAnsi" w:cs="Times New Roman"/>
        </w:rPr>
      </w:pPr>
      <w:r w:rsidRPr="0079420C">
        <w:rPr>
          <w:rFonts w:asciiTheme="majorHAnsi" w:hAnsiTheme="majorHAnsi" w:cs="Times New Roman"/>
        </w:rPr>
        <w:t>Systemic lupus erythematosus is a multisystem autoimmune disorder with wide range of clinical manifestations. To facilitate physician decision-making and homogenize patient care, we attempt to provide evidence-based principles and practical algorithms for the treatment of this challenging disease. The published EULAR and ACR recommendations for the treatment of SLE were used as a template and an additional review of the literature was performed. Treatment of SLE was dichotomized into disease without prominent renal involvement and lupus nephritis, and was stratified according to severity and histological classification, respectively.</w:t>
      </w:r>
    </w:p>
    <w:p w14:paraId="72181B3A" w14:textId="77777777" w:rsidR="0079420C" w:rsidRPr="0079420C" w:rsidRDefault="0079420C" w:rsidP="0079420C">
      <w:pPr>
        <w:spacing w:after="120" w:line="360" w:lineRule="auto"/>
        <w:ind w:left="567" w:right="1093"/>
        <w:jc w:val="both"/>
        <w:rPr>
          <w:rFonts w:asciiTheme="majorHAnsi" w:hAnsiTheme="majorHAnsi" w:cs="Times New Roman"/>
        </w:rPr>
      </w:pPr>
      <w:r w:rsidRPr="0079420C">
        <w:rPr>
          <w:rFonts w:asciiTheme="majorHAnsi" w:hAnsiTheme="majorHAnsi" w:cs="Times New Roman"/>
        </w:rPr>
        <w:t>Hydroxychloroquine is recommended for all SLE patients unless contraindicated. In extra-renal SLE, initial treatment includes corticosteroids, titrated according to severity of manifestations, in combination with an immunomodulatory/immunosuppressive agent (methotrexate or azathioprine in moderately severe, azathioprine or cyclophosphamide in severe or life-threatening disease). In the chronic management of SLE, the maximum acceptable daily dose of corticosteroids is 7.5 mg, since higher doses confer increased risk for organ damage, morbidity and mortality. In refractory/relapsing disease, different immunosuppressant from that initially administered should be used (including mycophenolate mofetil, MMF). Other choices include belimumab and rituximab. Treatment of proliferative or severe membranous nephritis includes an initial induction phase with intravenous cyclophosphamide (low-dose in mild to moderate, high-dose in severe nephritis) or MMF, followed by a more protracted maintenance phase with azathioprine or MMF. Diligent monitoring for prevention and treatment of various comorbidities, especially infections and cardiovascular events, is warranted.</w:t>
      </w:r>
    </w:p>
    <w:p w14:paraId="21D9849F" w14:textId="77777777" w:rsidR="0079420C" w:rsidRPr="0079420C" w:rsidRDefault="0079420C" w:rsidP="0079420C">
      <w:pPr>
        <w:spacing w:after="120" w:line="480" w:lineRule="auto"/>
        <w:jc w:val="both"/>
        <w:rPr>
          <w:rFonts w:ascii="Times New Roman" w:hAnsi="Times New Roman" w:cs="Times New Roman"/>
          <w:sz w:val="22"/>
        </w:rPr>
      </w:pPr>
    </w:p>
    <w:p w14:paraId="5500F17B" w14:textId="77777777" w:rsidR="0079420C" w:rsidRPr="0079420C" w:rsidRDefault="0079420C" w:rsidP="002F31CB">
      <w:pPr>
        <w:spacing w:after="120" w:line="360" w:lineRule="auto"/>
        <w:ind w:right="1094"/>
        <w:rPr>
          <w:rFonts w:asciiTheme="majorHAnsi" w:hAnsiTheme="majorHAnsi" w:cs="Times New Roman"/>
          <w:b/>
        </w:rPr>
      </w:pPr>
    </w:p>
    <w:p w14:paraId="5F26C03A" w14:textId="77777777" w:rsidR="0079420C" w:rsidRPr="001660D3" w:rsidRDefault="0079420C" w:rsidP="002F31CB">
      <w:pPr>
        <w:spacing w:after="120" w:line="360" w:lineRule="auto"/>
        <w:ind w:right="1094"/>
        <w:rPr>
          <w:rFonts w:asciiTheme="majorHAnsi" w:hAnsiTheme="majorHAnsi" w:cs="Times New Roman"/>
          <w:b/>
        </w:rPr>
      </w:pPr>
    </w:p>
    <w:p w14:paraId="6CA95060" w14:textId="77777777" w:rsidR="0079420C" w:rsidRPr="001660D3" w:rsidRDefault="0079420C" w:rsidP="002F31CB">
      <w:pPr>
        <w:spacing w:after="120" w:line="360" w:lineRule="auto"/>
        <w:ind w:right="1094"/>
        <w:rPr>
          <w:rFonts w:asciiTheme="majorHAnsi" w:hAnsiTheme="majorHAnsi" w:cs="Times New Roman"/>
          <w:b/>
        </w:rPr>
      </w:pPr>
    </w:p>
    <w:p w14:paraId="7BD17BB7" w14:textId="6656978C" w:rsidR="0026388B" w:rsidRDefault="002F31CB" w:rsidP="0079420C">
      <w:pPr>
        <w:tabs>
          <w:tab w:val="left" w:pos="567"/>
        </w:tabs>
        <w:spacing w:after="120" w:line="360" w:lineRule="auto"/>
        <w:ind w:left="284" w:right="1094"/>
        <w:rPr>
          <w:rFonts w:asciiTheme="majorHAnsi" w:hAnsiTheme="majorHAnsi" w:cs="Times New Roman"/>
          <w:b/>
          <w:lang w:val="el-GR"/>
        </w:rPr>
      </w:pPr>
      <w:r>
        <w:rPr>
          <w:rFonts w:asciiTheme="majorHAnsi" w:hAnsiTheme="majorHAnsi" w:cs="Times New Roman"/>
          <w:b/>
          <w:lang w:val="el-GR"/>
        </w:rPr>
        <w:t>Β</w:t>
      </w:r>
      <w:r w:rsidR="0026388B" w:rsidRPr="002F31CB">
        <w:rPr>
          <w:rFonts w:asciiTheme="majorHAnsi" w:hAnsiTheme="majorHAnsi" w:cs="Times New Roman"/>
          <w:b/>
          <w:lang w:val="el-GR"/>
        </w:rPr>
        <w:t>ιβλιογραφία</w:t>
      </w:r>
    </w:p>
    <w:p w14:paraId="2E8423ED" w14:textId="77777777" w:rsidR="004F5922" w:rsidRPr="002F31CB" w:rsidRDefault="004F5922" w:rsidP="0079420C">
      <w:pPr>
        <w:pStyle w:val="ListParagraph"/>
        <w:numPr>
          <w:ilvl w:val="0"/>
          <w:numId w:val="21"/>
        </w:numPr>
        <w:tabs>
          <w:tab w:val="left" w:pos="709"/>
        </w:tabs>
        <w:spacing w:after="120" w:line="360" w:lineRule="auto"/>
        <w:ind w:left="284" w:right="1094" w:firstLine="0"/>
        <w:rPr>
          <w:rFonts w:asciiTheme="majorHAnsi" w:hAnsiTheme="majorHAnsi" w:cs="Times New Roman"/>
        </w:rPr>
      </w:pPr>
      <w:r w:rsidRPr="002F31CB">
        <w:rPr>
          <w:rFonts w:asciiTheme="majorHAnsi" w:hAnsiTheme="majorHAnsi" w:cs="Times New Roman"/>
        </w:rPr>
        <w:t>Bertsias G, et al. Ann Rheum Dis. 2008;67(2):195-205</w:t>
      </w:r>
    </w:p>
    <w:p w14:paraId="1E630C19" w14:textId="77777777" w:rsidR="004F5922" w:rsidRPr="002F31CB" w:rsidRDefault="004F5922" w:rsidP="0079420C">
      <w:pPr>
        <w:pStyle w:val="ListParagraph"/>
        <w:numPr>
          <w:ilvl w:val="0"/>
          <w:numId w:val="21"/>
        </w:numPr>
        <w:tabs>
          <w:tab w:val="left" w:pos="709"/>
        </w:tabs>
        <w:spacing w:after="120" w:line="360" w:lineRule="auto"/>
        <w:ind w:left="284" w:right="1094" w:firstLine="0"/>
        <w:rPr>
          <w:rFonts w:asciiTheme="majorHAnsi" w:hAnsiTheme="majorHAnsi" w:cs="Times New Roman"/>
        </w:rPr>
      </w:pPr>
      <w:r w:rsidRPr="002F31CB">
        <w:rPr>
          <w:rFonts w:asciiTheme="majorHAnsi" w:hAnsiTheme="majorHAnsi" w:cs="Times New Roman"/>
        </w:rPr>
        <w:t>Bertsias G, et al. Ann Rheum Dis. 2010;69(12):2074-82</w:t>
      </w:r>
    </w:p>
    <w:p w14:paraId="58D3DC1E" w14:textId="77777777" w:rsidR="004F5922" w:rsidRPr="002F31CB" w:rsidRDefault="004F5922" w:rsidP="0079420C">
      <w:pPr>
        <w:pStyle w:val="ListParagraph"/>
        <w:numPr>
          <w:ilvl w:val="0"/>
          <w:numId w:val="21"/>
        </w:numPr>
        <w:tabs>
          <w:tab w:val="left" w:pos="709"/>
        </w:tabs>
        <w:spacing w:after="120" w:line="360" w:lineRule="auto"/>
        <w:ind w:left="284" w:right="1094" w:firstLine="0"/>
        <w:rPr>
          <w:rFonts w:asciiTheme="majorHAnsi" w:hAnsiTheme="majorHAnsi" w:cs="Times New Roman"/>
          <w:lang w:val="el-GR"/>
        </w:rPr>
      </w:pPr>
      <w:r w:rsidRPr="002F31CB">
        <w:rPr>
          <w:rFonts w:asciiTheme="majorHAnsi" w:hAnsiTheme="majorHAnsi" w:cs="Times New Roman"/>
        </w:rPr>
        <w:t xml:space="preserve">Gladman D, et al. Arthritis Rheum. </w:t>
      </w:r>
      <w:r w:rsidRPr="002F31CB">
        <w:rPr>
          <w:rFonts w:asciiTheme="majorHAnsi" w:hAnsiTheme="majorHAnsi" w:cs="Times New Roman"/>
          <w:lang w:val="el-GR"/>
        </w:rPr>
        <w:t>1999;42(9):1785-96</w:t>
      </w:r>
    </w:p>
    <w:p w14:paraId="52B05E36" w14:textId="77777777" w:rsidR="004F5922" w:rsidRPr="002F31CB" w:rsidRDefault="004F5922" w:rsidP="0079420C">
      <w:pPr>
        <w:pStyle w:val="ListParagraph"/>
        <w:numPr>
          <w:ilvl w:val="0"/>
          <w:numId w:val="21"/>
        </w:numPr>
        <w:tabs>
          <w:tab w:val="left" w:pos="709"/>
        </w:tabs>
        <w:spacing w:after="120" w:line="360" w:lineRule="auto"/>
        <w:ind w:left="284" w:right="1094" w:firstLine="0"/>
        <w:rPr>
          <w:rFonts w:asciiTheme="majorHAnsi" w:hAnsiTheme="majorHAnsi" w:cs="Times New Roman"/>
        </w:rPr>
      </w:pPr>
      <w:r w:rsidRPr="002F31CB">
        <w:rPr>
          <w:rFonts w:asciiTheme="majorHAnsi" w:hAnsiTheme="majorHAnsi" w:cs="Times New Roman"/>
        </w:rPr>
        <w:t>Manzi S, et al. Ann Rheum Dis. 2012;71(11):1833-8</w:t>
      </w:r>
    </w:p>
    <w:p w14:paraId="531B2C5C" w14:textId="77777777" w:rsidR="004F5922" w:rsidRPr="002F31CB" w:rsidRDefault="004F5922" w:rsidP="0079420C">
      <w:pPr>
        <w:pStyle w:val="ListParagraph"/>
        <w:numPr>
          <w:ilvl w:val="0"/>
          <w:numId w:val="21"/>
        </w:numPr>
        <w:tabs>
          <w:tab w:val="left" w:pos="709"/>
        </w:tabs>
        <w:spacing w:after="120" w:line="360" w:lineRule="auto"/>
        <w:ind w:left="284" w:right="1094" w:firstLine="0"/>
        <w:rPr>
          <w:rFonts w:asciiTheme="majorHAnsi" w:hAnsiTheme="majorHAnsi" w:cs="Times New Roman"/>
          <w:lang w:val="el-GR"/>
        </w:rPr>
      </w:pPr>
      <w:r w:rsidRPr="002F31CB">
        <w:rPr>
          <w:rFonts w:asciiTheme="majorHAnsi" w:hAnsiTheme="majorHAnsi" w:cs="Times New Roman"/>
        </w:rPr>
        <w:t xml:space="preserve">Ginzler EM, et al. Arthritis Rheum. </w:t>
      </w:r>
      <w:r w:rsidRPr="002F31CB">
        <w:rPr>
          <w:rFonts w:asciiTheme="majorHAnsi" w:hAnsiTheme="majorHAnsi" w:cs="Times New Roman"/>
          <w:lang w:val="el-GR"/>
        </w:rPr>
        <w:t>2010;62(1):211-21</w:t>
      </w:r>
    </w:p>
    <w:p w14:paraId="5481B118" w14:textId="77777777" w:rsidR="004F5922" w:rsidRPr="002F31CB" w:rsidRDefault="004F5922" w:rsidP="0079420C">
      <w:pPr>
        <w:pStyle w:val="ListParagraph"/>
        <w:numPr>
          <w:ilvl w:val="0"/>
          <w:numId w:val="21"/>
        </w:numPr>
        <w:tabs>
          <w:tab w:val="left" w:pos="709"/>
        </w:tabs>
        <w:spacing w:after="120" w:line="360" w:lineRule="auto"/>
        <w:ind w:left="284" w:right="1094" w:firstLine="0"/>
        <w:rPr>
          <w:rFonts w:asciiTheme="majorHAnsi" w:hAnsiTheme="majorHAnsi" w:cs="Times New Roman"/>
          <w:lang w:val="el-GR"/>
        </w:rPr>
      </w:pPr>
      <w:r w:rsidRPr="002F31CB">
        <w:rPr>
          <w:rFonts w:asciiTheme="majorHAnsi" w:hAnsiTheme="majorHAnsi" w:cs="Times New Roman"/>
        </w:rPr>
        <w:t xml:space="preserve">Sakthiswary R, et al. Lupus. </w:t>
      </w:r>
      <w:r w:rsidRPr="002F31CB">
        <w:rPr>
          <w:rFonts w:asciiTheme="majorHAnsi" w:hAnsiTheme="majorHAnsi" w:cs="Times New Roman"/>
          <w:lang w:val="el-GR"/>
        </w:rPr>
        <w:t>2014;23(3):225-35</w:t>
      </w:r>
    </w:p>
    <w:p w14:paraId="0E73C03C" w14:textId="77777777" w:rsidR="004F5922" w:rsidRPr="002F31CB" w:rsidRDefault="004F5922" w:rsidP="0079420C">
      <w:pPr>
        <w:pStyle w:val="ListParagraph"/>
        <w:numPr>
          <w:ilvl w:val="0"/>
          <w:numId w:val="21"/>
        </w:numPr>
        <w:tabs>
          <w:tab w:val="left" w:pos="709"/>
        </w:tabs>
        <w:spacing w:after="120" w:line="360" w:lineRule="auto"/>
        <w:ind w:left="284" w:right="1094" w:firstLine="0"/>
        <w:rPr>
          <w:rFonts w:asciiTheme="majorHAnsi" w:hAnsiTheme="majorHAnsi" w:cs="Times New Roman"/>
          <w:lang w:val="el-GR"/>
        </w:rPr>
      </w:pPr>
      <w:r w:rsidRPr="002F31CB">
        <w:rPr>
          <w:rFonts w:asciiTheme="majorHAnsi" w:hAnsiTheme="majorHAnsi" w:cs="Times New Roman"/>
        </w:rPr>
        <w:t xml:space="preserve">Griffiths B, et al. Rheumatology (Oxford). </w:t>
      </w:r>
      <w:r w:rsidRPr="002F31CB">
        <w:rPr>
          <w:rFonts w:asciiTheme="majorHAnsi" w:hAnsiTheme="majorHAnsi" w:cs="Times New Roman"/>
          <w:lang w:val="el-GR"/>
        </w:rPr>
        <w:t>2010;49(4):723-32</w:t>
      </w:r>
    </w:p>
    <w:p w14:paraId="09A28176" w14:textId="77777777" w:rsidR="004F5922" w:rsidRPr="002F31CB" w:rsidRDefault="004F5922" w:rsidP="0079420C">
      <w:pPr>
        <w:pStyle w:val="ListParagraph"/>
        <w:numPr>
          <w:ilvl w:val="0"/>
          <w:numId w:val="21"/>
        </w:numPr>
        <w:tabs>
          <w:tab w:val="left" w:pos="709"/>
        </w:tabs>
        <w:spacing w:after="120" w:line="360" w:lineRule="auto"/>
        <w:ind w:left="284" w:right="1094" w:firstLine="0"/>
        <w:rPr>
          <w:rFonts w:asciiTheme="majorHAnsi" w:hAnsiTheme="majorHAnsi" w:cs="Times New Roman"/>
          <w:lang w:val="el-GR"/>
        </w:rPr>
      </w:pPr>
      <w:r w:rsidRPr="002F31CB">
        <w:rPr>
          <w:rFonts w:asciiTheme="majorHAnsi" w:hAnsiTheme="majorHAnsi" w:cs="Times New Roman"/>
        </w:rPr>
        <w:t xml:space="preserve">Abu-Shakra M, et al. </w:t>
      </w:r>
      <w:r w:rsidRPr="002F31CB">
        <w:rPr>
          <w:rFonts w:asciiTheme="majorHAnsi" w:hAnsiTheme="majorHAnsi" w:cs="Times New Roman"/>
          <w:lang w:val="el-GR"/>
        </w:rPr>
        <w:t>Lupus. 2001;10(3):152-3</w:t>
      </w:r>
    </w:p>
    <w:p w14:paraId="3A4D402B" w14:textId="77777777" w:rsidR="004F5922" w:rsidRPr="002F31CB" w:rsidRDefault="004F5922" w:rsidP="0079420C">
      <w:pPr>
        <w:pStyle w:val="ListParagraph"/>
        <w:numPr>
          <w:ilvl w:val="0"/>
          <w:numId w:val="21"/>
        </w:numPr>
        <w:tabs>
          <w:tab w:val="left" w:pos="709"/>
        </w:tabs>
        <w:spacing w:after="120" w:line="360" w:lineRule="auto"/>
        <w:ind w:left="284" w:right="1094" w:firstLine="0"/>
        <w:rPr>
          <w:rFonts w:asciiTheme="majorHAnsi" w:hAnsiTheme="majorHAnsi" w:cs="Times New Roman"/>
          <w:lang w:val="el-GR"/>
        </w:rPr>
      </w:pPr>
      <w:r w:rsidRPr="002F31CB">
        <w:rPr>
          <w:rFonts w:asciiTheme="majorHAnsi" w:hAnsiTheme="majorHAnsi" w:cs="Times New Roman"/>
        </w:rPr>
        <w:t xml:space="preserve">Griffiths B, et al. Lupus. </w:t>
      </w:r>
      <w:r w:rsidRPr="002F31CB">
        <w:rPr>
          <w:rFonts w:asciiTheme="majorHAnsi" w:hAnsiTheme="majorHAnsi" w:cs="Times New Roman"/>
          <w:lang w:val="el-GR"/>
        </w:rPr>
        <w:t>2001;10(3):165-70</w:t>
      </w:r>
    </w:p>
    <w:p w14:paraId="40A38338" w14:textId="77777777" w:rsidR="004F5922" w:rsidRPr="002F31CB" w:rsidRDefault="004F5922" w:rsidP="0079420C">
      <w:pPr>
        <w:pStyle w:val="ListParagraph"/>
        <w:numPr>
          <w:ilvl w:val="0"/>
          <w:numId w:val="21"/>
        </w:numPr>
        <w:tabs>
          <w:tab w:val="left" w:pos="567"/>
          <w:tab w:val="left" w:pos="709"/>
        </w:tabs>
        <w:spacing w:after="120" w:line="360" w:lineRule="auto"/>
        <w:ind w:left="284" w:right="1094" w:firstLine="0"/>
        <w:rPr>
          <w:rFonts w:asciiTheme="majorHAnsi" w:hAnsiTheme="majorHAnsi" w:cs="Times New Roman"/>
          <w:lang w:val="el-GR"/>
        </w:rPr>
      </w:pPr>
      <w:r w:rsidRPr="002F31CB">
        <w:rPr>
          <w:rFonts w:asciiTheme="majorHAnsi" w:hAnsiTheme="majorHAnsi" w:cs="Times New Roman"/>
        </w:rPr>
        <w:t xml:space="preserve">Zandman-Goddard G, et al. </w:t>
      </w:r>
      <w:r w:rsidRPr="002F31CB">
        <w:rPr>
          <w:rFonts w:asciiTheme="majorHAnsi" w:hAnsiTheme="majorHAnsi" w:cs="Times New Roman"/>
          <w:lang w:val="el-GR"/>
        </w:rPr>
        <w:t>Lupus. 2009;18(10):884-8</w:t>
      </w:r>
    </w:p>
    <w:p w14:paraId="5BEDCDC3" w14:textId="77777777" w:rsidR="004F5922" w:rsidRPr="002F31CB" w:rsidRDefault="004F5922" w:rsidP="0079420C">
      <w:pPr>
        <w:pStyle w:val="ListParagraph"/>
        <w:numPr>
          <w:ilvl w:val="0"/>
          <w:numId w:val="21"/>
        </w:numPr>
        <w:tabs>
          <w:tab w:val="left" w:pos="567"/>
          <w:tab w:val="left" w:pos="709"/>
        </w:tabs>
        <w:spacing w:after="120" w:line="360" w:lineRule="auto"/>
        <w:ind w:left="284" w:right="1094" w:firstLine="0"/>
        <w:rPr>
          <w:rFonts w:asciiTheme="majorHAnsi" w:hAnsiTheme="majorHAnsi" w:cs="Times New Roman"/>
        </w:rPr>
      </w:pPr>
      <w:r w:rsidRPr="002F31CB">
        <w:rPr>
          <w:rFonts w:asciiTheme="majorHAnsi" w:hAnsiTheme="majorHAnsi" w:cs="Times New Roman"/>
        </w:rPr>
        <w:t>Sárdy M, et al. Arch Dermatol Res. 2009;301(1):93-8</w:t>
      </w:r>
    </w:p>
    <w:p w14:paraId="4CFBAA8D" w14:textId="77777777" w:rsidR="004F5922" w:rsidRPr="002F31CB" w:rsidRDefault="004F5922" w:rsidP="0079420C">
      <w:pPr>
        <w:pStyle w:val="ListParagraph"/>
        <w:numPr>
          <w:ilvl w:val="0"/>
          <w:numId w:val="21"/>
        </w:numPr>
        <w:tabs>
          <w:tab w:val="left" w:pos="567"/>
          <w:tab w:val="left" w:pos="709"/>
        </w:tabs>
        <w:spacing w:after="120" w:line="360" w:lineRule="auto"/>
        <w:ind w:left="284" w:right="1094" w:firstLine="0"/>
        <w:rPr>
          <w:rFonts w:asciiTheme="majorHAnsi" w:hAnsiTheme="majorHAnsi" w:cs="Times New Roman"/>
        </w:rPr>
      </w:pPr>
      <w:r w:rsidRPr="002F31CB">
        <w:rPr>
          <w:rFonts w:asciiTheme="majorHAnsi" w:hAnsiTheme="majorHAnsi" w:cs="Times New Roman"/>
        </w:rPr>
        <w:t>Jessop S, et al. Cochrane Database Syst Rev. 2009;(4):CD002954</w:t>
      </w:r>
    </w:p>
    <w:p w14:paraId="6DCAAE99" w14:textId="77777777" w:rsidR="004F5922" w:rsidRPr="002F31CB" w:rsidRDefault="004F5922" w:rsidP="0079420C">
      <w:pPr>
        <w:pStyle w:val="ListParagraph"/>
        <w:numPr>
          <w:ilvl w:val="0"/>
          <w:numId w:val="21"/>
        </w:numPr>
        <w:tabs>
          <w:tab w:val="left" w:pos="567"/>
          <w:tab w:val="left" w:pos="709"/>
        </w:tabs>
        <w:spacing w:after="120" w:line="360" w:lineRule="auto"/>
        <w:ind w:left="284" w:right="1094" w:firstLine="0"/>
        <w:rPr>
          <w:rFonts w:asciiTheme="majorHAnsi" w:hAnsiTheme="majorHAnsi" w:cs="Times New Roman"/>
          <w:lang w:val="el-GR"/>
        </w:rPr>
      </w:pPr>
      <w:r w:rsidRPr="002F31CB">
        <w:rPr>
          <w:rFonts w:asciiTheme="majorHAnsi" w:hAnsiTheme="majorHAnsi" w:cs="Times New Roman"/>
        </w:rPr>
        <w:t xml:space="preserve">Weening JJ, et al. J Am Soc Nephrol. </w:t>
      </w:r>
      <w:r w:rsidRPr="002F31CB">
        <w:rPr>
          <w:rFonts w:asciiTheme="majorHAnsi" w:hAnsiTheme="majorHAnsi" w:cs="Times New Roman"/>
          <w:lang w:val="el-GR"/>
        </w:rPr>
        <w:t>2004;15(2):241-50</w:t>
      </w:r>
    </w:p>
    <w:p w14:paraId="13991973" w14:textId="77777777" w:rsidR="004F5922" w:rsidRPr="002F31CB" w:rsidRDefault="004F5922" w:rsidP="0079420C">
      <w:pPr>
        <w:pStyle w:val="ListParagraph"/>
        <w:numPr>
          <w:ilvl w:val="0"/>
          <w:numId w:val="21"/>
        </w:numPr>
        <w:tabs>
          <w:tab w:val="left" w:pos="567"/>
          <w:tab w:val="left" w:pos="709"/>
        </w:tabs>
        <w:spacing w:after="120" w:line="360" w:lineRule="auto"/>
        <w:ind w:left="284" w:right="1094" w:firstLine="0"/>
        <w:rPr>
          <w:rFonts w:asciiTheme="majorHAnsi" w:hAnsiTheme="majorHAnsi" w:cs="Times New Roman"/>
        </w:rPr>
      </w:pPr>
      <w:r w:rsidRPr="002F31CB">
        <w:rPr>
          <w:rFonts w:asciiTheme="majorHAnsi" w:hAnsiTheme="majorHAnsi" w:cs="Times New Roman"/>
        </w:rPr>
        <w:t>Bertsias GK, et al. Ann Rheum Dis. 2012;71(11):1771-82</w:t>
      </w:r>
    </w:p>
    <w:p w14:paraId="7371F99C" w14:textId="77777777" w:rsidR="004F5922" w:rsidRPr="002F31CB" w:rsidRDefault="004F5922" w:rsidP="0079420C">
      <w:pPr>
        <w:pStyle w:val="ListParagraph"/>
        <w:numPr>
          <w:ilvl w:val="0"/>
          <w:numId w:val="21"/>
        </w:numPr>
        <w:tabs>
          <w:tab w:val="left" w:pos="567"/>
          <w:tab w:val="left" w:pos="709"/>
        </w:tabs>
        <w:spacing w:after="120" w:line="360" w:lineRule="auto"/>
        <w:ind w:left="284" w:right="1094" w:firstLine="0"/>
        <w:rPr>
          <w:rFonts w:asciiTheme="majorHAnsi" w:hAnsiTheme="majorHAnsi" w:cs="Times New Roman"/>
          <w:lang w:val="el-GR"/>
        </w:rPr>
      </w:pPr>
      <w:r w:rsidRPr="002F31CB">
        <w:rPr>
          <w:rFonts w:asciiTheme="majorHAnsi" w:hAnsiTheme="majorHAnsi" w:cs="Times New Roman"/>
        </w:rPr>
        <w:t xml:space="preserve">Hahn BH, et al. Arthritis Care Res (Hoboken). </w:t>
      </w:r>
      <w:r w:rsidRPr="002F31CB">
        <w:rPr>
          <w:rFonts w:asciiTheme="majorHAnsi" w:hAnsiTheme="majorHAnsi" w:cs="Times New Roman"/>
          <w:lang w:val="el-GR"/>
        </w:rPr>
        <w:t>2012;64(6):797-808.</w:t>
      </w:r>
    </w:p>
    <w:p w14:paraId="7681D5A5" w14:textId="77777777" w:rsidR="004F5922" w:rsidRPr="002F31CB" w:rsidRDefault="004F5922" w:rsidP="0079420C">
      <w:pPr>
        <w:tabs>
          <w:tab w:val="left" w:pos="567"/>
          <w:tab w:val="left" w:pos="709"/>
        </w:tabs>
        <w:spacing w:after="120" w:line="360" w:lineRule="auto"/>
        <w:ind w:left="284" w:right="1093"/>
        <w:rPr>
          <w:rFonts w:asciiTheme="majorHAnsi" w:hAnsiTheme="majorHAnsi" w:cs="Times New Roman"/>
          <w:lang w:val="el-GR"/>
        </w:rPr>
      </w:pPr>
    </w:p>
    <w:p w14:paraId="6DEE246F" w14:textId="77777777" w:rsidR="0026388B" w:rsidRPr="002F31CB" w:rsidRDefault="0026388B" w:rsidP="0079420C">
      <w:pPr>
        <w:tabs>
          <w:tab w:val="left" w:pos="567"/>
          <w:tab w:val="left" w:pos="709"/>
        </w:tabs>
        <w:spacing w:after="120" w:line="360" w:lineRule="auto"/>
        <w:ind w:left="284" w:right="1093"/>
        <w:rPr>
          <w:rFonts w:asciiTheme="majorHAnsi" w:hAnsiTheme="majorHAnsi" w:cs="Times New Roman"/>
          <w:lang w:val="el-GR"/>
        </w:rPr>
      </w:pPr>
    </w:p>
    <w:p w14:paraId="63F89C26" w14:textId="77777777" w:rsidR="0026388B" w:rsidRPr="002F31CB" w:rsidRDefault="0026388B" w:rsidP="0079420C">
      <w:pPr>
        <w:tabs>
          <w:tab w:val="left" w:pos="567"/>
          <w:tab w:val="left" w:pos="709"/>
        </w:tabs>
        <w:spacing w:after="120" w:line="360" w:lineRule="auto"/>
        <w:ind w:right="1093"/>
        <w:rPr>
          <w:rFonts w:asciiTheme="majorHAnsi" w:hAnsiTheme="majorHAnsi" w:cs="Times New Roman"/>
          <w:b/>
          <w:lang w:val="el-GR"/>
        </w:rPr>
      </w:pPr>
      <w:r w:rsidRPr="002F31CB">
        <w:rPr>
          <w:rFonts w:asciiTheme="majorHAnsi" w:hAnsiTheme="majorHAnsi" w:cs="Times New Roman"/>
          <w:b/>
          <w:lang w:val="el-GR"/>
        </w:rPr>
        <w:br w:type="page"/>
      </w:r>
    </w:p>
    <w:p w14:paraId="538B5850" w14:textId="77777777" w:rsidR="000004E6" w:rsidRPr="002F31CB" w:rsidRDefault="008F159C" w:rsidP="002F31CB">
      <w:pPr>
        <w:spacing w:after="120" w:line="360" w:lineRule="auto"/>
        <w:ind w:right="1093"/>
        <w:jc w:val="both"/>
        <w:rPr>
          <w:rFonts w:asciiTheme="majorHAnsi" w:hAnsiTheme="majorHAnsi" w:cs="Times New Roman"/>
          <w:lang w:val="el-GR"/>
        </w:rPr>
      </w:pPr>
      <w:r w:rsidRPr="002F31CB">
        <w:rPr>
          <w:rFonts w:asciiTheme="majorHAnsi" w:hAnsiTheme="majorHAnsi" w:cs="Times New Roman"/>
          <w:b/>
          <w:lang w:val="el-GR"/>
        </w:rPr>
        <w:t>ΠΑΡΑΡΤΗΜΑ</w:t>
      </w:r>
    </w:p>
    <w:p w14:paraId="433F66C1" w14:textId="003D30D9" w:rsidR="000004E6" w:rsidRPr="0026388B" w:rsidRDefault="008F159C" w:rsidP="002F31CB">
      <w:pPr>
        <w:spacing w:after="120" w:line="360" w:lineRule="auto"/>
        <w:ind w:right="1093"/>
        <w:jc w:val="both"/>
        <w:rPr>
          <w:rFonts w:asciiTheme="majorHAnsi" w:hAnsiTheme="majorHAnsi" w:cs="Times New Roman"/>
          <w:b/>
          <w:sz w:val="22"/>
          <w:szCs w:val="22"/>
          <w:lang w:val="el-GR"/>
        </w:rPr>
      </w:pPr>
      <w:r w:rsidRPr="002F31CB">
        <w:rPr>
          <w:rFonts w:asciiTheme="majorHAnsi" w:hAnsiTheme="majorHAnsi" w:cs="Times New Roman"/>
          <w:b/>
          <w:lang w:val="el-GR"/>
        </w:rPr>
        <w:t>Πίνακας 1. Ήπιες κλινικές εκδηλ</w:t>
      </w:r>
      <w:r w:rsidRPr="0026388B">
        <w:rPr>
          <w:rFonts w:asciiTheme="majorHAnsi" w:hAnsiTheme="majorHAnsi" w:cs="Times New Roman"/>
          <w:b/>
          <w:sz w:val="22"/>
          <w:szCs w:val="22"/>
          <w:lang w:val="el-GR"/>
        </w:rPr>
        <w:t>ώσεις του ΣΕΛ</w:t>
      </w:r>
      <w:r w:rsidR="00F50261" w:rsidRPr="00F50261">
        <w:rPr>
          <w:rFonts w:asciiTheme="majorHAnsi" w:hAnsiTheme="majorHAnsi" w:cs="Times New Roman"/>
          <w:b/>
          <w:szCs w:val="22"/>
          <w:vertAlign w:val="superscript"/>
          <w:lang w:val="el-GR"/>
        </w:rPr>
        <w:t>*</w:t>
      </w:r>
    </w:p>
    <w:tbl>
      <w:tblPr>
        <w:tblStyle w:val="TableGrid"/>
        <w:tblW w:w="0" w:type="auto"/>
        <w:tblCellMar>
          <w:left w:w="57" w:type="dxa"/>
          <w:right w:w="57" w:type="dxa"/>
        </w:tblCellMar>
        <w:tblLook w:val="04A0" w:firstRow="1" w:lastRow="0" w:firstColumn="1" w:lastColumn="0" w:noHBand="0" w:noVBand="1"/>
      </w:tblPr>
      <w:tblGrid>
        <w:gridCol w:w="3034"/>
        <w:gridCol w:w="5528"/>
      </w:tblGrid>
      <w:tr w:rsidR="008F159C" w:rsidRPr="0026388B" w14:paraId="776B980A" w14:textId="77777777" w:rsidTr="003C3BE9">
        <w:tc>
          <w:tcPr>
            <w:tcW w:w="3034" w:type="dxa"/>
          </w:tcPr>
          <w:p w14:paraId="7255D23A" w14:textId="77777777" w:rsidR="008F159C" w:rsidRPr="0026388B" w:rsidRDefault="008F159C" w:rsidP="002F31CB">
            <w:pPr>
              <w:tabs>
                <w:tab w:val="left" w:pos="426"/>
              </w:tabs>
              <w:spacing w:after="120" w:line="360" w:lineRule="auto"/>
              <w:ind w:right="1093"/>
              <w:rPr>
                <w:rFonts w:asciiTheme="majorHAnsi" w:hAnsiTheme="majorHAnsi" w:cs="Times New Roman"/>
                <w:b/>
                <w:sz w:val="20"/>
                <w:szCs w:val="22"/>
              </w:rPr>
            </w:pPr>
            <w:r w:rsidRPr="0026388B">
              <w:rPr>
                <w:rFonts w:asciiTheme="majorHAnsi" w:hAnsiTheme="majorHAnsi" w:cs="Times New Roman"/>
                <w:b/>
                <w:sz w:val="20"/>
                <w:szCs w:val="22"/>
                <w:lang w:val="el-GR"/>
              </w:rPr>
              <w:t xml:space="preserve">Όργανο/σύστημα </w:t>
            </w:r>
          </w:p>
        </w:tc>
        <w:tc>
          <w:tcPr>
            <w:tcW w:w="5528" w:type="dxa"/>
          </w:tcPr>
          <w:p w14:paraId="616EEC49" w14:textId="77777777" w:rsidR="008F159C" w:rsidRPr="0026388B" w:rsidRDefault="008F159C" w:rsidP="002F31CB">
            <w:pPr>
              <w:tabs>
                <w:tab w:val="left" w:pos="426"/>
              </w:tabs>
              <w:spacing w:after="120" w:line="360" w:lineRule="auto"/>
              <w:ind w:right="1093"/>
              <w:jc w:val="center"/>
              <w:rPr>
                <w:rFonts w:asciiTheme="majorHAnsi" w:hAnsiTheme="majorHAnsi" w:cs="Times New Roman"/>
                <w:b/>
                <w:sz w:val="20"/>
                <w:szCs w:val="22"/>
                <w:lang w:val="el-GR"/>
              </w:rPr>
            </w:pPr>
            <w:r w:rsidRPr="0026388B">
              <w:rPr>
                <w:rFonts w:asciiTheme="majorHAnsi" w:hAnsiTheme="majorHAnsi" w:cs="Times New Roman"/>
                <w:b/>
                <w:sz w:val="20"/>
                <w:szCs w:val="22"/>
                <w:lang w:val="el-GR"/>
              </w:rPr>
              <w:t>Κλινικές εκδηλώσεις</w:t>
            </w:r>
          </w:p>
        </w:tc>
      </w:tr>
      <w:tr w:rsidR="008F159C" w:rsidRPr="001660D3" w14:paraId="44726B11" w14:textId="77777777" w:rsidTr="003C3BE9">
        <w:tc>
          <w:tcPr>
            <w:tcW w:w="3034" w:type="dxa"/>
          </w:tcPr>
          <w:p w14:paraId="75B4AA92" w14:textId="77777777" w:rsidR="008F159C" w:rsidRPr="0026388B" w:rsidRDefault="008F159C"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Γενικό/συστηματικό</w:t>
            </w:r>
          </w:p>
        </w:tc>
        <w:tc>
          <w:tcPr>
            <w:tcW w:w="5528" w:type="dxa"/>
          </w:tcPr>
          <w:p w14:paraId="2F009575" w14:textId="77777777" w:rsidR="008F159C" w:rsidRPr="0026388B" w:rsidRDefault="008F159C" w:rsidP="002F31CB">
            <w:pPr>
              <w:pStyle w:val="ListParagraph"/>
              <w:numPr>
                <w:ilvl w:val="0"/>
                <w:numId w:val="17"/>
              </w:numPr>
              <w:spacing w:after="120" w:line="360" w:lineRule="auto"/>
              <w:ind w:left="113" w:right="1093" w:hanging="113"/>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Δεκατική πυρετική κίνηση, ήπια κακουχία</w:t>
            </w:r>
          </w:p>
        </w:tc>
      </w:tr>
      <w:tr w:rsidR="008F159C" w:rsidRPr="001660D3" w14:paraId="081C3DDD" w14:textId="77777777" w:rsidTr="003C3BE9">
        <w:tc>
          <w:tcPr>
            <w:tcW w:w="3034" w:type="dxa"/>
          </w:tcPr>
          <w:p w14:paraId="7482428A" w14:textId="77777777" w:rsidR="008F159C" w:rsidRPr="0026388B" w:rsidRDefault="008F159C"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Βλεννογονο-δερματικό</w:t>
            </w:r>
          </w:p>
        </w:tc>
        <w:tc>
          <w:tcPr>
            <w:tcW w:w="5528" w:type="dxa"/>
          </w:tcPr>
          <w:p w14:paraId="443FA065" w14:textId="77777777" w:rsidR="008F159C" w:rsidRPr="0026388B" w:rsidRDefault="008F159C" w:rsidP="002F31CB">
            <w:pPr>
              <w:pStyle w:val="ListParagraph"/>
              <w:numPr>
                <w:ilvl w:val="0"/>
                <w:numId w:val="17"/>
              </w:numPr>
              <w:spacing w:after="120" w:line="360" w:lineRule="auto"/>
              <w:ind w:left="113" w:right="1093" w:hanging="113"/>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Ήπια δερματικά εξανθήματα (≤9% επιφάνειας </w:t>
            </w:r>
            <w:r w:rsidR="003C3BE9" w:rsidRPr="0026388B">
              <w:rPr>
                <w:rFonts w:asciiTheme="majorHAnsi" w:hAnsiTheme="majorHAnsi" w:cs="Times New Roman"/>
                <w:sz w:val="20"/>
                <w:szCs w:val="22"/>
                <w:lang w:val="el-GR"/>
              </w:rPr>
              <w:t>σώματος</w:t>
            </w:r>
            <w:r w:rsidRPr="0026388B">
              <w:rPr>
                <w:rFonts w:asciiTheme="majorHAnsi" w:hAnsiTheme="majorHAnsi" w:cs="Times New Roman"/>
                <w:sz w:val="20"/>
                <w:szCs w:val="22"/>
                <w:lang w:val="el-GR"/>
              </w:rPr>
              <w:t>)</w:t>
            </w:r>
          </w:p>
          <w:p w14:paraId="57F90AB2" w14:textId="77777777" w:rsidR="008F159C" w:rsidRPr="0026388B" w:rsidRDefault="008F159C" w:rsidP="002F31CB">
            <w:pPr>
              <w:pStyle w:val="ListParagraph"/>
              <w:numPr>
                <w:ilvl w:val="0"/>
                <w:numId w:val="17"/>
              </w:numPr>
              <w:spacing w:after="120" w:line="360" w:lineRule="auto"/>
              <w:ind w:left="113" w:right="1093" w:hanging="113"/>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Εντοπισμένα έλκη στοματικού/ρινικού βλεννογόνου</w:t>
            </w:r>
          </w:p>
        </w:tc>
      </w:tr>
      <w:tr w:rsidR="008F159C" w:rsidRPr="0026388B" w14:paraId="18A717E9" w14:textId="77777777" w:rsidTr="003C3BE9">
        <w:tc>
          <w:tcPr>
            <w:tcW w:w="3034" w:type="dxa"/>
          </w:tcPr>
          <w:p w14:paraId="3E7DE9AD" w14:textId="77777777" w:rsidR="008F159C" w:rsidRPr="0026388B" w:rsidRDefault="008F159C"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Μυοσκελετικό</w:t>
            </w:r>
          </w:p>
        </w:tc>
        <w:tc>
          <w:tcPr>
            <w:tcW w:w="5528" w:type="dxa"/>
          </w:tcPr>
          <w:p w14:paraId="7F7A79FF" w14:textId="77777777" w:rsidR="008F159C" w:rsidRPr="0026388B" w:rsidRDefault="008F159C" w:rsidP="002F31CB">
            <w:pPr>
              <w:pStyle w:val="ListParagraph"/>
              <w:numPr>
                <w:ilvl w:val="0"/>
                <w:numId w:val="17"/>
              </w:numPr>
              <w:spacing w:after="120" w:line="360" w:lineRule="auto"/>
              <w:ind w:left="113" w:right="1093" w:hanging="113"/>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Ήπια αρθρίτιδα μικρών αρθρώσεων</w:t>
            </w:r>
          </w:p>
        </w:tc>
      </w:tr>
    </w:tbl>
    <w:p w14:paraId="5D4D0B40" w14:textId="77777777" w:rsidR="005353FD" w:rsidRPr="0026388B" w:rsidRDefault="005353FD" w:rsidP="002F31CB">
      <w:pPr>
        <w:spacing w:after="120" w:line="360" w:lineRule="auto"/>
        <w:ind w:right="1093"/>
        <w:jc w:val="both"/>
        <w:rPr>
          <w:rFonts w:asciiTheme="majorHAnsi" w:hAnsiTheme="majorHAnsi" w:cs="Times New Roman"/>
          <w:sz w:val="22"/>
          <w:szCs w:val="22"/>
          <w:lang w:val="el-GR"/>
        </w:rPr>
      </w:pPr>
    </w:p>
    <w:p w14:paraId="6FB58CA2" w14:textId="2DEE754C" w:rsidR="005353FD" w:rsidRPr="0026388B" w:rsidRDefault="00F50261" w:rsidP="002F31CB">
      <w:pPr>
        <w:spacing w:after="120" w:line="360" w:lineRule="auto"/>
        <w:ind w:right="1093"/>
        <w:jc w:val="both"/>
        <w:rPr>
          <w:rFonts w:asciiTheme="majorHAnsi" w:hAnsiTheme="majorHAnsi" w:cs="Times New Roman"/>
          <w:sz w:val="22"/>
          <w:szCs w:val="22"/>
          <w:lang w:val="el-GR"/>
        </w:rPr>
      </w:pPr>
      <w:r w:rsidRPr="00F50261">
        <w:rPr>
          <w:rFonts w:asciiTheme="majorHAnsi" w:hAnsiTheme="majorHAnsi" w:cs="Times New Roman"/>
          <w:szCs w:val="22"/>
          <w:vertAlign w:val="superscript"/>
          <w:lang w:val="el-GR"/>
        </w:rPr>
        <w:t>*</w:t>
      </w:r>
      <w:r w:rsidR="008F159C" w:rsidRPr="0026388B">
        <w:rPr>
          <w:rFonts w:asciiTheme="majorHAnsi" w:hAnsiTheme="majorHAnsi" w:cs="Times New Roman"/>
          <w:sz w:val="22"/>
          <w:szCs w:val="22"/>
          <w:lang w:val="el-GR"/>
        </w:rPr>
        <w:t>Λαμβάνοντας υπόψη το σύστημα BILAG 2004 (Isenberg DA, et al. Rheumatology. 2005; 44 (7): 902-906)</w:t>
      </w:r>
    </w:p>
    <w:p w14:paraId="22E122C2" w14:textId="77777777" w:rsidR="005353FD" w:rsidRPr="0026388B" w:rsidRDefault="005353FD" w:rsidP="002F31CB">
      <w:pPr>
        <w:spacing w:after="120" w:line="360" w:lineRule="auto"/>
        <w:ind w:right="1093"/>
        <w:jc w:val="both"/>
        <w:rPr>
          <w:rFonts w:asciiTheme="majorHAnsi" w:hAnsiTheme="majorHAnsi" w:cs="Times New Roman"/>
          <w:sz w:val="22"/>
          <w:szCs w:val="22"/>
          <w:lang w:val="el-GR"/>
        </w:rPr>
      </w:pPr>
    </w:p>
    <w:p w14:paraId="31FF225A" w14:textId="77777777" w:rsidR="005353FD" w:rsidRPr="0026388B" w:rsidRDefault="005353FD" w:rsidP="002F31CB">
      <w:pPr>
        <w:spacing w:after="120" w:line="360" w:lineRule="auto"/>
        <w:ind w:right="1093"/>
        <w:jc w:val="both"/>
        <w:rPr>
          <w:rFonts w:asciiTheme="majorHAnsi" w:hAnsiTheme="majorHAnsi" w:cs="Times New Roman"/>
          <w:sz w:val="22"/>
          <w:szCs w:val="22"/>
          <w:lang w:val="el-GR"/>
        </w:rPr>
      </w:pPr>
    </w:p>
    <w:p w14:paraId="23D5A12D" w14:textId="77777777" w:rsidR="003C3BE9" w:rsidRPr="0026388B" w:rsidRDefault="003C3BE9" w:rsidP="002F31CB">
      <w:pPr>
        <w:spacing w:after="120" w:line="360" w:lineRule="auto"/>
        <w:ind w:right="1093"/>
        <w:rPr>
          <w:rFonts w:asciiTheme="majorHAnsi" w:hAnsiTheme="majorHAnsi" w:cs="Times New Roman"/>
          <w:sz w:val="22"/>
          <w:szCs w:val="22"/>
          <w:lang w:val="el-GR"/>
        </w:rPr>
      </w:pPr>
      <w:r w:rsidRPr="0026388B">
        <w:rPr>
          <w:rFonts w:asciiTheme="majorHAnsi" w:hAnsiTheme="majorHAnsi" w:cs="Times New Roman"/>
          <w:sz w:val="22"/>
          <w:szCs w:val="22"/>
          <w:lang w:val="el-GR"/>
        </w:rPr>
        <w:br w:type="page"/>
      </w:r>
    </w:p>
    <w:p w14:paraId="559503F4" w14:textId="74360C34" w:rsidR="003C3BE9" w:rsidRPr="0026388B" w:rsidRDefault="003C3BE9" w:rsidP="002F31CB">
      <w:pPr>
        <w:spacing w:after="120" w:line="360" w:lineRule="auto"/>
        <w:ind w:right="1093"/>
        <w:jc w:val="both"/>
        <w:rPr>
          <w:rFonts w:asciiTheme="majorHAnsi" w:hAnsiTheme="majorHAnsi" w:cs="Times New Roman"/>
          <w:b/>
          <w:sz w:val="22"/>
          <w:szCs w:val="22"/>
          <w:lang w:val="el-GR"/>
        </w:rPr>
      </w:pPr>
      <w:r w:rsidRPr="0026388B">
        <w:rPr>
          <w:rFonts w:asciiTheme="majorHAnsi" w:hAnsiTheme="majorHAnsi" w:cs="Times New Roman"/>
          <w:b/>
          <w:sz w:val="22"/>
          <w:szCs w:val="22"/>
          <w:lang w:val="el-GR"/>
        </w:rPr>
        <w:t>Πίνακας 2. Μετρίως σοβαρές κλινικές εκδηλώσεις του ΣΕΛ</w:t>
      </w:r>
      <w:r w:rsidRPr="0026388B">
        <w:rPr>
          <w:rFonts w:asciiTheme="majorHAnsi" w:hAnsiTheme="majorHAnsi" w:cs="Times New Roman"/>
          <w:b/>
          <w:sz w:val="22"/>
          <w:szCs w:val="22"/>
          <w:vertAlign w:val="superscript"/>
          <w:lang w:val="el-GR"/>
        </w:rPr>
        <w:t xml:space="preserve"> </w:t>
      </w:r>
      <w:r w:rsidR="00F50261" w:rsidRPr="00F50261">
        <w:rPr>
          <w:rFonts w:asciiTheme="majorHAnsi" w:hAnsiTheme="majorHAnsi" w:cs="Times New Roman"/>
          <w:b/>
          <w:szCs w:val="22"/>
          <w:vertAlign w:val="superscript"/>
          <w:lang w:val="el-GR"/>
        </w:rPr>
        <w:t>*</w:t>
      </w:r>
    </w:p>
    <w:tbl>
      <w:tblPr>
        <w:tblStyle w:val="TableGrid"/>
        <w:tblW w:w="0" w:type="auto"/>
        <w:tblCellMar>
          <w:left w:w="57" w:type="dxa"/>
          <w:right w:w="57" w:type="dxa"/>
        </w:tblCellMar>
        <w:tblLook w:val="04A0" w:firstRow="1" w:lastRow="0" w:firstColumn="1" w:lastColumn="0" w:noHBand="0" w:noVBand="1"/>
      </w:tblPr>
      <w:tblGrid>
        <w:gridCol w:w="2858"/>
        <w:gridCol w:w="6996"/>
      </w:tblGrid>
      <w:tr w:rsidR="003C3BE9" w:rsidRPr="0026388B" w14:paraId="3AA416E7" w14:textId="77777777" w:rsidTr="003C3BE9">
        <w:tc>
          <w:tcPr>
            <w:tcW w:w="2042" w:type="dxa"/>
          </w:tcPr>
          <w:p w14:paraId="50C581DB" w14:textId="77777777" w:rsidR="003C3BE9" w:rsidRPr="0026388B" w:rsidRDefault="003C3BE9" w:rsidP="002F31CB">
            <w:pPr>
              <w:tabs>
                <w:tab w:val="left" w:pos="426"/>
              </w:tabs>
              <w:spacing w:after="120" w:line="360" w:lineRule="auto"/>
              <w:ind w:right="1093"/>
              <w:rPr>
                <w:rFonts w:asciiTheme="majorHAnsi" w:hAnsiTheme="majorHAnsi" w:cs="Times New Roman"/>
                <w:b/>
                <w:sz w:val="20"/>
                <w:szCs w:val="22"/>
              </w:rPr>
            </w:pPr>
            <w:r w:rsidRPr="0026388B">
              <w:rPr>
                <w:rFonts w:asciiTheme="majorHAnsi" w:hAnsiTheme="majorHAnsi" w:cs="Times New Roman"/>
                <w:b/>
                <w:sz w:val="20"/>
                <w:szCs w:val="22"/>
                <w:lang w:val="el-GR"/>
              </w:rPr>
              <w:t xml:space="preserve">Όργανο/σύστημα </w:t>
            </w:r>
          </w:p>
        </w:tc>
        <w:tc>
          <w:tcPr>
            <w:tcW w:w="7812" w:type="dxa"/>
          </w:tcPr>
          <w:p w14:paraId="44137CB5" w14:textId="77777777" w:rsidR="003C3BE9" w:rsidRPr="0026388B" w:rsidRDefault="003C3BE9" w:rsidP="002F31CB">
            <w:pPr>
              <w:tabs>
                <w:tab w:val="left" w:pos="426"/>
              </w:tabs>
              <w:spacing w:after="120" w:line="360" w:lineRule="auto"/>
              <w:ind w:right="1093"/>
              <w:jc w:val="center"/>
              <w:rPr>
                <w:rFonts w:asciiTheme="majorHAnsi" w:hAnsiTheme="majorHAnsi" w:cs="Times New Roman"/>
                <w:b/>
                <w:sz w:val="20"/>
                <w:szCs w:val="22"/>
                <w:lang w:val="el-GR"/>
              </w:rPr>
            </w:pPr>
            <w:r w:rsidRPr="0026388B">
              <w:rPr>
                <w:rFonts w:asciiTheme="majorHAnsi" w:hAnsiTheme="majorHAnsi" w:cs="Times New Roman"/>
                <w:b/>
                <w:sz w:val="20"/>
                <w:szCs w:val="22"/>
                <w:lang w:val="el-GR"/>
              </w:rPr>
              <w:t>Κλινικές εκδηλώσεις</w:t>
            </w:r>
          </w:p>
        </w:tc>
      </w:tr>
      <w:tr w:rsidR="003C3BE9" w:rsidRPr="001660D3" w14:paraId="55E47668" w14:textId="77777777" w:rsidTr="003C3BE9">
        <w:tc>
          <w:tcPr>
            <w:tcW w:w="2042" w:type="dxa"/>
          </w:tcPr>
          <w:p w14:paraId="440F6C04" w14:textId="77777777" w:rsidR="003C3BE9" w:rsidRPr="0026388B" w:rsidRDefault="003C3BE9"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Γενικό/συστηματικό</w:t>
            </w:r>
          </w:p>
        </w:tc>
        <w:tc>
          <w:tcPr>
            <w:tcW w:w="7812" w:type="dxa"/>
          </w:tcPr>
          <w:p w14:paraId="1EAFB5F7"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Πυρετός &gt;38 °C, απώλεια σωματικού βάρους</w:t>
            </w:r>
          </w:p>
        </w:tc>
      </w:tr>
      <w:tr w:rsidR="003C3BE9" w:rsidRPr="0026388B" w14:paraId="24DE8A9C" w14:textId="77777777" w:rsidTr="003C3BE9">
        <w:tc>
          <w:tcPr>
            <w:tcW w:w="2042" w:type="dxa"/>
          </w:tcPr>
          <w:p w14:paraId="389F5E08" w14:textId="77777777" w:rsidR="003C3BE9" w:rsidRPr="0026388B" w:rsidRDefault="003C3BE9"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Βλεννογονο-δερματικό</w:t>
            </w:r>
          </w:p>
        </w:tc>
        <w:tc>
          <w:tcPr>
            <w:tcW w:w="7812" w:type="dxa"/>
          </w:tcPr>
          <w:p w14:paraId="54E7221C"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Δερματικός λύκος με έκταση 9-18% </w:t>
            </w:r>
            <w:r w:rsidR="00814DB4" w:rsidRPr="0026388B">
              <w:rPr>
                <w:rFonts w:asciiTheme="majorHAnsi" w:hAnsiTheme="majorHAnsi" w:cs="Times New Roman"/>
                <w:sz w:val="20"/>
                <w:szCs w:val="22"/>
                <w:lang w:val="el-GR"/>
              </w:rPr>
              <w:t>επιφάνεια σώματος [</w:t>
            </w:r>
            <w:r w:rsidRPr="0026388B">
              <w:rPr>
                <w:rFonts w:asciiTheme="majorHAnsi" w:hAnsiTheme="majorHAnsi" w:cs="Times New Roman"/>
                <w:sz w:val="20"/>
                <w:szCs w:val="22"/>
                <w:lang w:val="el-GR"/>
              </w:rPr>
              <w:t>ΕΣ</w:t>
            </w:r>
            <w:r w:rsidR="00814DB4" w:rsidRPr="0026388B">
              <w:rPr>
                <w:rFonts w:asciiTheme="majorHAnsi" w:hAnsiTheme="majorHAnsi" w:cs="Times New Roman"/>
                <w:sz w:val="20"/>
                <w:szCs w:val="22"/>
                <w:lang w:val="el-GR"/>
              </w:rPr>
              <w:t>]</w:t>
            </w:r>
            <w:r w:rsidRPr="0026388B">
              <w:rPr>
                <w:rFonts w:asciiTheme="majorHAnsi" w:hAnsiTheme="majorHAnsi" w:cs="Times New Roman"/>
                <w:sz w:val="20"/>
                <w:szCs w:val="22"/>
                <w:lang w:val="el-GR"/>
              </w:rPr>
              <w:t xml:space="preserve">, φυσαλιδώδες εξάνθημα ≤9% ΕΣ, </w:t>
            </w:r>
          </w:p>
          <w:p w14:paraId="421477C5"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Μετρίως εκτεταμένο αγγειοοίδημα λύκου [χωρίς προσβολή αεραγωγών] </w:t>
            </w:r>
          </w:p>
          <w:p w14:paraId="2643941D"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Μετρίως εκτεταμένη υποδερματίτιδα (&lt;9% ΕΣ, χωρίς προσβολή προσώπου) </w:t>
            </w:r>
          </w:p>
          <w:p w14:paraId="0995E452"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Αγγειϊτιδικό εξάνθημα ≤18% ΕΣ με ήπια εξέλκωση ή γάγγραινα</w:t>
            </w:r>
          </w:p>
          <w:p w14:paraId="5664D1B7"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Εκτεταμένα έλκη στοματικού ή ρινικού βλεννογόνου </w:t>
            </w:r>
          </w:p>
          <w:p w14:paraId="74CE2E99"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Μέτρια/εκτεταμένη τριχόπτωση</w:t>
            </w:r>
          </w:p>
        </w:tc>
      </w:tr>
      <w:tr w:rsidR="003C3BE9" w:rsidRPr="0026388B" w14:paraId="53CF8904" w14:textId="77777777" w:rsidTr="003C3BE9">
        <w:tc>
          <w:tcPr>
            <w:tcW w:w="2042" w:type="dxa"/>
          </w:tcPr>
          <w:p w14:paraId="08785339" w14:textId="77777777" w:rsidR="003C3BE9" w:rsidRPr="0026388B" w:rsidRDefault="003C3BE9"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Μυοσκελετικό</w:t>
            </w:r>
          </w:p>
        </w:tc>
        <w:tc>
          <w:tcPr>
            <w:tcW w:w="7812" w:type="dxa"/>
          </w:tcPr>
          <w:p w14:paraId="0B1D6F4D"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Φλεγμονώδης πολυαρθρίτιδα</w:t>
            </w:r>
          </w:p>
          <w:p w14:paraId="03439C4B"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Μυοσίτιδα</w:t>
            </w:r>
          </w:p>
        </w:tc>
      </w:tr>
      <w:tr w:rsidR="003C3BE9" w:rsidRPr="001660D3" w14:paraId="4FB56B1F" w14:textId="77777777" w:rsidTr="003C3BE9">
        <w:tc>
          <w:tcPr>
            <w:tcW w:w="2042" w:type="dxa"/>
          </w:tcPr>
          <w:p w14:paraId="5BC838E4" w14:textId="77777777" w:rsidR="003C3BE9" w:rsidRPr="0026388B" w:rsidRDefault="003C3BE9"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Καρδιο-αναπνευστικό</w:t>
            </w:r>
          </w:p>
        </w:tc>
        <w:tc>
          <w:tcPr>
            <w:tcW w:w="7812" w:type="dxa"/>
          </w:tcPr>
          <w:p w14:paraId="2B3B7CE3"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Εξιδρωματική συλλογή (πλευριτική, περικαρδιακή, ασκιτική)</w:t>
            </w:r>
          </w:p>
          <w:p w14:paraId="2432E62F"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Φλεγμονώδης προσβολή του καρδιο-αναπνευστικού </w:t>
            </w:r>
          </w:p>
        </w:tc>
      </w:tr>
      <w:tr w:rsidR="003C3BE9" w:rsidRPr="001660D3" w14:paraId="7E5CB527" w14:textId="77777777" w:rsidTr="003C3BE9">
        <w:tc>
          <w:tcPr>
            <w:tcW w:w="2042" w:type="dxa"/>
          </w:tcPr>
          <w:p w14:paraId="7DDB5A20" w14:textId="77777777" w:rsidR="003C3BE9" w:rsidRPr="0026388B" w:rsidRDefault="003C3BE9"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Γαστρεντερικό</w:t>
            </w:r>
          </w:p>
        </w:tc>
        <w:tc>
          <w:tcPr>
            <w:tcW w:w="7812" w:type="dxa"/>
          </w:tcPr>
          <w:p w14:paraId="631D83F8"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Φλεγμονώδης προσβολή του γαστρεντερικού που δεν ταξινομείται ως σοβαρή </w:t>
            </w:r>
          </w:p>
        </w:tc>
      </w:tr>
      <w:tr w:rsidR="003C3BE9" w:rsidRPr="001660D3" w14:paraId="598B681E" w14:textId="77777777" w:rsidTr="003C3BE9">
        <w:tc>
          <w:tcPr>
            <w:tcW w:w="2042" w:type="dxa"/>
          </w:tcPr>
          <w:p w14:paraId="459EA73B" w14:textId="77777777" w:rsidR="003C3BE9" w:rsidRPr="0026388B" w:rsidRDefault="003C3BE9"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Νεφρικό</w:t>
            </w:r>
          </w:p>
        </w:tc>
        <w:tc>
          <w:tcPr>
            <w:tcW w:w="7812" w:type="dxa"/>
          </w:tcPr>
          <w:p w14:paraId="72826B41"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Νεφρίτιδα τάξης Ι/ΙΙ κατά ISN/RPS (μεσαγγειακή, μεσαγγειοϋπερπλαστική) με εμμένουσα πρωτεϊνουρία &gt;1 </w:t>
            </w:r>
            <w:r w:rsidRPr="0026388B">
              <w:rPr>
                <w:rFonts w:asciiTheme="majorHAnsi" w:hAnsiTheme="majorHAnsi" w:cs="Times New Roman"/>
                <w:sz w:val="20"/>
                <w:szCs w:val="22"/>
              </w:rPr>
              <w:t>g</w:t>
            </w:r>
            <w:r w:rsidRPr="00ED4C67">
              <w:rPr>
                <w:rFonts w:asciiTheme="majorHAnsi" w:hAnsiTheme="majorHAnsi" w:cs="Times New Roman"/>
                <w:sz w:val="20"/>
                <w:szCs w:val="22"/>
                <w:lang w:val="el-GR"/>
              </w:rPr>
              <w:t>/24-</w:t>
            </w:r>
            <w:r w:rsidRPr="0026388B">
              <w:rPr>
                <w:rFonts w:asciiTheme="majorHAnsi" w:hAnsiTheme="majorHAnsi" w:cs="Times New Roman"/>
                <w:sz w:val="20"/>
                <w:szCs w:val="22"/>
              </w:rPr>
              <w:t>hr</w:t>
            </w:r>
            <w:r w:rsidRPr="00ED4C67">
              <w:rPr>
                <w:rFonts w:asciiTheme="majorHAnsi" w:hAnsiTheme="majorHAnsi" w:cs="Times New Roman"/>
                <w:sz w:val="20"/>
                <w:szCs w:val="22"/>
                <w:lang w:val="el-GR"/>
              </w:rPr>
              <w:t xml:space="preserve"> </w:t>
            </w:r>
            <w:r w:rsidRPr="0026388B">
              <w:rPr>
                <w:rFonts w:asciiTheme="majorHAnsi" w:hAnsiTheme="majorHAnsi" w:cs="Times New Roman"/>
                <w:sz w:val="20"/>
                <w:szCs w:val="22"/>
                <w:lang w:val="el-GR"/>
              </w:rPr>
              <w:t>παρά τη λήψη αναστολέων ρενίνης-αγγειοτενσίνης-αλδοστερόνης</w:t>
            </w:r>
          </w:p>
          <w:p w14:paraId="1059A13D"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Νεφρίτιδα τάξης </w:t>
            </w:r>
            <w:r w:rsidRPr="0026388B">
              <w:rPr>
                <w:rFonts w:asciiTheme="majorHAnsi" w:hAnsiTheme="majorHAnsi" w:cs="Times New Roman"/>
                <w:sz w:val="20"/>
                <w:szCs w:val="22"/>
              </w:rPr>
              <w:t>V</w:t>
            </w:r>
            <w:r w:rsidRPr="0026388B">
              <w:rPr>
                <w:rFonts w:asciiTheme="majorHAnsi" w:hAnsiTheme="majorHAnsi" w:cs="Times New Roman"/>
                <w:sz w:val="20"/>
                <w:szCs w:val="22"/>
                <w:lang w:val="el-GR"/>
              </w:rPr>
              <w:t xml:space="preserve"> κατά </w:t>
            </w:r>
            <w:r w:rsidRPr="0026388B">
              <w:rPr>
                <w:rFonts w:asciiTheme="majorHAnsi" w:hAnsiTheme="majorHAnsi" w:cs="Times New Roman"/>
                <w:sz w:val="20"/>
                <w:szCs w:val="22"/>
              </w:rPr>
              <w:t>ISN</w:t>
            </w:r>
            <w:r w:rsidRPr="00ED4C67">
              <w:rPr>
                <w:rFonts w:asciiTheme="majorHAnsi" w:hAnsiTheme="majorHAnsi" w:cs="Times New Roman"/>
                <w:sz w:val="20"/>
                <w:szCs w:val="22"/>
                <w:lang w:val="el-GR"/>
              </w:rPr>
              <w:t>/</w:t>
            </w:r>
            <w:r w:rsidRPr="0026388B">
              <w:rPr>
                <w:rFonts w:asciiTheme="majorHAnsi" w:hAnsiTheme="majorHAnsi" w:cs="Times New Roman"/>
                <w:sz w:val="20"/>
                <w:szCs w:val="22"/>
              </w:rPr>
              <w:t>RPS</w:t>
            </w:r>
            <w:r w:rsidRPr="00ED4C67">
              <w:rPr>
                <w:rFonts w:asciiTheme="majorHAnsi" w:hAnsiTheme="majorHAnsi" w:cs="Times New Roman"/>
                <w:sz w:val="20"/>
                <w:szCs w:val="22"/>
                <w:lang w:val="el-GR"/>
              </w:rPr>
              <w:t xml:space="preserve"> (</w:t>
            </w:r>
            <w:r w:rsidRPr="0026388B">
              <w:rPr>
                <w:rFonts w:asciiTheme="majorHAnsi" w:hAnsiTheme="majorHAnsi" w:cs="Times New Roman"/>
                <w:sz w:val="20"/>
                <w:szCs w:val="22"/>
                <w:lang w:val="el-GR"/>
              </w:rPr>
              <w:t xml:space="preserve">αμιγώς μεμβρανώδης) με εμμένουσα μη-νεφρωτικού ορίου πρωτεϊνουρία &gt;1 </w:t>
            </w:r>
            <w:r w:rsidRPr="0026388B">
              <w:rPr>
                <w:rFonts w:asciiTheme="majorHAnsi" w:hAnsiTheme="majorHAnsi" w:cs="Times New Roman"/>
                <w:sz w:val="20"/>
                <w:szCs w:val="22"/>
              </w:rPr>
              <w:t>g</w:t>
            </w:r>
            <w:r w:rsidRPr="00ED4C67">
              <w:rPr>
                <w:rFonts w:asciiTheme="majorHAnsi" w:hAnsiTheme="majorHAnsi" w:cs="Times New Roman"/>
                <w:sz w:val="20"/>
                <w:szCs w:val="22"/>
                <w:lang w:val="el-GR"/>
              </w:rPr>
              <w:t>/24-</w:t>
            </w:r>
            <w:r w:rsidRPr="0026388B">
              <w:rPr>
                <w:rFonts w:asciiTheme="majorHAnsi" w:hAnsiTheme="majorHAnsi" w:cs="Times New Roman"/>
                <w:sz w:val="20"/>
                <w:szCs w:val="22"/>
              </w:rPr>
              <w:t>hr</w:t>
            </w:r>
            <w:r w:rsidRPr="0026388B">
              <w:rPr>
                <w:rFonts w:asciiTheme="majorHAnsi" w:hAnsiTheme="majorHAnsi" w:cs="Times New Roman"/>
                <w:sz w:val="20"/>
                <w:szCs w:val="22"/>
                <w:lang w:val="el-GR"/>
              </w:rPr>
              <w:t xml:space="preserve"> παρά τη λήψη αναστολέων ρενίνης-αγγειοτενσίνης-αλδοστερόνης</w:t>
            </w:r>
            <w:r w:rsidR="00814DB4" w:rsidRPr="0026388B">
              <w:rPr>
                <w:rFonts w:asciiTheme="majorHAnsi" w:hAnsiTheme="majorHAnsi" w:cs="Times New Roman"/>
                <w:sz w:val="20"/>
                <w:szCs w:val="22"/>
                <w:lang w:val="el-GR"/>
              </w:rPr>
              <w:t xml:space="preserve"> και γλυκοκορτικοειδών, ή αδυναμία μείωσης της δόσης γλυκοκορτικοειδών</w:t>
            </w:r>
          </w:p>
        </w:tc>
      </w:tr>
      <w:tr w:rsidR="003C3BE9" w:rsidRPr="0026388B" w14:paraId="0726F796" w14:textId="77777777" w:rsidTr="003C3BE9">
        <w:tc>
          <w:tcPr>
            <w:tcW w:w="2042" w:type="dxa"/>
          </w:tcPr>
          <w:p w14:paraId="54262143" w14:textId="77777777" w:rsidR="003C3BE9" w:rsidRPr="0026388B" w:rsidRDefault="003C3BE9"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Αιματολογικό</w:t>
            </w:r>
          </w:p>
        </w:tc>
        <w:tc>
          <w:tcPr>
            <w:tcW w:w="7812" w:type="dxa"/>
          </w:tcPr>
          <w:p w14:paraId="55D6E36D"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Αυτοάνοση αιμολυτική αναιμία με αιμοσφαιρίνη &gt;10 g/dL</w:t>
            </w:r>
          </w:p>
          <w:p w14:paraId="2FDFAF81"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Λευκοπενία ≥2500/μL, ουδετεροπενία &gt;1000/μL, λεμφοπενία &gt;1000/μL</w:t>
            </w:r>
          </w:p>
          <w:p w14:paraId="335CB8B6"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Αυτοάνοση θρομβοπενία &gt;50000/μL</w:t>
            </w:r>
          </w:p>
        </w:tc>
      </w:tr>
      <w:tr w:rsidR="003C3BE9" w:rsidRPr="001660D3" w14:paraId="3618EA5F" w14:textId="77777777" w:rsidTr="003C3BE9">
        <w:tc>
          <w:tcPr>
            <w:tcW w:w="2042" w:type="dxa"/>
          </w:tcPr>
          <w:p w14:paraId="7CF4E452" w14:textId="77777777" w:rsidR="003C3BE9" w:rsidRPr="0026388B" w:rsidRDefault="003C3BE9"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Οφθαλμολογικό</w:t>
            </w:r>
          </w:p>
        </w:tc>
        <w:tc>
          <w:tcPr>
            <w:tcW w:w="7812" w:type="dxa"/>
          </w:tcPr>
          <w:p w14:paraId="59E80BC8"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Φλεγμονώδεις εκδηλώσεις που δεν ταξινομούνται ως σοβαρές</w:t>
            </w:r>
          </w:p>
        </w:tc>
      </w:tr>
      <w:tr w:rsidR="003C3BE9" w:rsidRPr="001660D3" w14:paraId="2EF98E7A" w14:textId="77777777" w:rsidTr="003C3BE9">
        <w:tc>
          <w:tcPr>
            <w:tcW w:w="2042" w:type="dxa"/>
          </w:tcPr>
          <w:p w14:paraId="74E41BDF" w14:textId="77777777" w:rsidR="003C3BE9" w:rsidRPr="0026388B" w:rsidRDefault="003C3BE9"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Νευρολογικό</w:t>
            </w:r>
          </w:p>
        </w:tc>
        <w:tc>
          <w:tcPr>
            <w:tcW w:w="7812" w:type="dxa"/>
          </w:tcPr>
          <w:p w14:paraId="6E0E2049" w14:textId="77777777" w:rsidR="003C3BE9" w:rsidRPr="0026388B" w:rsidRDefault="003C3BE9" w:rsidP="002F31CB">
            <w:pPr>
              <w:pStyle w:val="ListParagraph"/>
              <w:numPr>
                <w:ilvl w:val="0"/>
                <w:numId w:val="19"/>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Φλεγμονώδεις εκδηλώσεις (χωρίς σοβαρό νευρολογικό έλλειμμα): άσηπτη μηνιγγίτιδα, κρανιακή νευροπάθεια, χορεία/κινητική διαταραχή, περιφερική νευροπάθεια (μονο-/πολυνευροπάθεια), επιληπτική διαταραχή, άνοια, διαταραχή συναισθήματος/κατάθλιψη</w:t>
            </w:r>
          </w:p>
        </w:tc>
      </w:tr>
    </w:tbl>
    <w:p w14:paraId="0015C620" w14:textId="77777777" w:rsidR="00F50261" w:rsidRDefault="00F50261" w:rsidP="002F31CB">
      <w:pPr>
        <w:spacing w:after="120" w:line="360" w:lineRule="auto"/>
        <w:ind w:right="1093"/>
        <w:jc w:val="both"/>
        <w:rPr>
          <w:rFonts w:asciiTheme="majorHAnsi" w:hAnsiTheme="majorHAnsi" w:cs="Times New Roman"/>
          <w:szCs w:val="22"/>
          <w:vertAlign w:val="superscript"/>
          <w:lang w:val="el-GR"/>
        </w:rPr>
      </w:pPr>
    </w:p>
    <w:p w14:paraId="22693A48" w14:textId="4C980C1E" w:rsidR="00814DB4" w:rsidRPr="0026388B" w:rsidRDefault="00F50261" w:rsidP="002F31CB">
      <w:pPr>
        <w:spacing w:after="120" w:line="360" w:lineRule="auto"/>
        <w:ind w:right="1093"/>
        <w:jc w:val="both"/>
        <w:rPr>
          <w:rFonts w:asciiTheme="majorHAnsi" w:hAnsiTheme="majorHAnsi" w:cs="Times New Roman"/>
          <w:sz w:val="22"/>
          <w:szCs w:val="22"/>
          <w:lang w:val="el-GR"/>
        </w:rPr>
      </w:pPr>
      <w:r w:rsidRPr="00F50261">
        <w:rPr>
          <w:rFonts w:asciiTheme="majorHAnsi" w:hAnsiTheme="majorHAnsi" w:cs="Times New Roman"/>
          <w:szCs w:val="22"/>
          <w:vertAlign w:val="superscript"/>
          <w:lang w:val="el-GR"/>
        </w:rPr>
        <w:t>*</w:t>
      </w:r>
      <w:r w:rsidR="00814DB4" w:rsidRPr="0026388B">
        <w:rPr>
          <w:rFonts w:asciiTheme="majorHAnsi" w:hAnsiTheme="majorHAnsi" w:cs="Times New Roman"/>
          <w:sz w:val="22"/>
          <w:szCs w:val="22"/>
          <w:lang w:val="el-GR"/>
        </w:rPr>
        <w:t>Λαμβάνοντας υπόψη το σύστημα BILAG 2004 (Isenberg DA, et al. Rheumatology. 2005; 44 (7): 902-906)</w:t>
      </w:r>
    </w:p>
    <w:p w14:paraId="39ED9B06" w14:textId="77777777" w:rsidR="00814DB4" w:rsidRPr="0026388B" w:rsidRDefault="00814DB4" w:rsidP="002F31CB">
      <w:pPr>
        <w:spacing w:after="120" w:line="360" w:lineRule="auto"/>
        <w:ind w:right="1093"/>
        <w:rPr>
          <w:rFonts w:asciiTheme="majorHAnsi" w:hAnsiTheme="majorHAnsi" w:cs="Times New Roman"/>
          <w:sz w:val="22"/>
          <w:szCs w:val="22"/>
          <w:lang w:val="el-GR"/>
        </w:rPr>
      </w:pPr>
    </w:p>
    <w:p w14:paraId="6B60F7DD" w14:textId="77777777" w:rsidR="00814DB4" w:rsidRPr="0026388B" w:rsidRDefault="00814DB4" w:rsidP="002F31CB">
      <w:pPr>
        <w:spacing w:after="120" w:line="360" w:lineRule="auto"/>
        <w:ind w:right="1093"/>
        <w:rPr>
          <w:rFonts w:asciiTheme="majorHAnsi" w:hAnsiTheme="majorHAnsi" w:cs="Times New Roman"/>
          <w:sz w:val="22"/>
          <w:szCs w:val="22"/>
          <w:lang w:val="el-GR"/>
        </w:rPr>
      </w:pPr>
      <w:r w:rsidRPr="0026388B">
        <w:rPr>
          <w:rFonts w:asciiTheme="majorHAnsi" w:hAnsiTheme="majorHAnsi" w:cs="Times New Roman"/>
          <w:sz w:val="22"/>
          <w:szCs w:val="22"/>
          <w:lang w:val="el-GR"/>
        </w:rPr>
        <w:br w:type="page"/>
      </w:r>
    </w:p>
    <w:p w14:paraId="0211CC74" w14:textId="6721F4E7" w:rsidR="00814DB4" w:rsidRPr="0026388B" w:rsidRDefault="00814DB4" w:rsidP="002F31CB">
      <w:pPr>
        <w:spacing w:after="120" w:line="360" w:lineRule="auto"/>
        <w:ind w:right="1093"/>
        <w:jc w:val="both"/>
        <w:rPr>
          <w:rFonts w:asciiTheme="majorHAnsi" w:hAnsiTheme="majorHAnsi" w:cs="Times New Roman"/>
          <w:b/>
          <w:sz w:val="22"/>
          <w:szCs w:val="22"/>
          <w:lang w:val="el-GR"/>
        </w:rPr>
      </w:pPr>
      <w:r w:rsidRPr="0026388B">
        <w:rPr>
          <w:rFonts w:asciiTheme="majorHAnsi" w:hAnsiTheme="majorHAnsi" w:cs="Times New Roman"/>
          <w:b/>
          <w:sz w:val="22"/>
          <w:szCs w:val="22"/>
          <w:lang w:val="el-GR"/>
        </w:rPr>
        <w:t xml:space="preserve">Πίνακας 3. Σοβαρές </w:t>
      </w:r>
      <w:r w:rsidR="00D83D97">
        <w:rPr>
          <w:rFonts w:asciiTheme="majorHAnsi" w:hAnsiTheme="majorHAnsi" w:cs="Times New Roman"/>
          <w:b/>
          <w:sz w:val="22"/>
          <w:szCs w:val="22"/>
          <w:lang w:val="el-GR"/>
        </w:rPr>
        <w:t xml:space="preserve">ή απειλητικές για τη ζωή </w:t>
      </w:r>
      <w:r w:rsidRPr="0026388B">
        <w:rPr>
          <w:rFonts w:asciiTheme="majorHAnsi" w:hAnsiTheme="majorHAnsi" w:cs="Times New Roman"/>
          <w:b/>
          <w:sz w:val="22"/>
          <w:szCs w:val="22"/>
          <w:lang w:val="el-GR"/>
        </w:rPr>
        <w:t>κλινικές εκδηλώσεις του ΣΕΛ</w:t>
      </w:r>
      <w:r w:rsidRPr="0026388B">
        <w:rPr>
          <w:rFonts w:asciiTheme="majorHAnsi" w:hAnsiTheme="majorHAnsi" w:cs="Times New Roman"/>
          <w:b/>
          <w:sz w:val="22"/>
          <w:szCs w:val="22"/>
          <w:vertAlign w:val="superscript"/>
          <w:lang w:val="el-GR"/>
        </w:rPr>
        <w:t xml:space="preserve"> </w:t>
      </w:r>
      <w:r w:rsidR="00F50261" w:rsidRPr="00F50261">
        <w:rPr>
          <w:rFonts w:asciiTheme="majorHAnsi" w:hAnsiTheme="majorHAnsi" w:cs="Times New Roman"/>
          <w:b/>
          <w:szCs w:val="22"/>
          <w:vertAlign w:val="superscript"/>
          <w:lang w:val="el-GR"/>
        </w:rPr>
        <w:t>*</w:t>
      </w:r>
    </w:p>
    <w:tbl>
      <w:tblPr>
        <w:tblStyle w:val="TableGrid"/>
        <w:tblW w:w="0" w:type="auto"/>
        <w:tblCellMar>
          <w:left w:w="57" w:type="dxa"/>
          <w:right w:w="57" w:type="dxa"/>
        </w:tblCellMar>
        <w:tblLook w:val="04A0" w:firstRow="1" w:lastRow="0" w:firstColumn="1" w:lastColumn="0" w:noHBand="0" w:noVBand="1"/>
      </w:tblPr>
      <w:tblGrid>
        <w:gridCol w:w="2788"/>
        <w:gridCol w:w="7066"/>
      </w:tblGrid>
      <w:tr w:rsidR="00814DB4" w:rsidRPr="0026388B" w14:paraId="20DF20BB" w14:textId="77777777" w:rsidTr="00814DB4">
        <w:tc>
          <w:tcPr>
            <w:tcW w:w="0" w:type="auto"/>
          </w:tcPr>
          <w:p w14:paraId="7FDD38A8" w14:textId="77777777" w:rsidR="00814DB4" w:rsidRPr="0026388B" w:rsidRDefault="00814DB4" w:rsidP="002F31CB">
            <w:pPr>
              <w:tabs>
                <w:tab w:val="left" w:pos="426"/>
              </w:tabs>
              <w:spacing w:after="120" w:line="360" w:lineRule="auto"/>
              <w:ind w:right="1093"/>
              <w:rPr>
                <w:rFonts w:asciiTheme="majorHAnsi" w:hAnsiTheme="majorHAnsi" w:cs="Times New Roman"/>
                <w:b/>
                <w:sz w:val="20"/>
                <w:szCs w:val="22"/>
              </w:rPr>
            </w:pPr>
            <w:r w:rsidRPr="0026388B">
              <w:rPr>
                <w:rFonts w:asciiTheme="majorHAnsi" w:hAnsiTheme="majorHAnsi" w:cs="Times New Roman"/>
                <w:b/>
                <w:sz w:val="20"/>
                <w:szCs w:val="22"/>
                <w:lang w:val="el-GR"/>
              </w:rPr>
              <w:t>Όργανο/σύστημα</w:t>
            </w:r>
          </w:p>
        </w:tc>
        <w:tc>
          <w:tcPr>
            <w:tcW w:w="0" w:type="auto"/>
          </w:tcPr>
          <w:p w14:paraId="64D37FEA" w14:textId="77777777" w:rsidR="00814DB4" w:rsidRPr="0026388B" w:rsidRDefault="0026388B" w:rsidP="002F31CB">
            <w:pPr>
              <w:tabs>
                <w:tab w:val="left" w:pos="426"/>
              </w:tabs>
              <w:spacing w:after="120" w:line="360" w:lineRule="auto"/>
              <w:ind w:right="1093"/>
              <w:jc w:val="center"/>
              <w:rPr>
                <w:rFonts w:asciiTheme="majorHAnsi" w:hAnsiTheme="majorHAnsi" w:cs="Times New Roman"/>
                <w:b/>
                <w:sz w:val="20"/>
                <w:szCs w:val="22"/>
                <w:lang w:val="el-GR"/>
              </w:rPr>
            </w:pPr>
            <w:r>
              <w:rPr>
                <w:rFonts w:asciiTheme="majorHAnsi" w:hAnsiTheme="majorHAnsi" w:cs="Times New Roman"/>
                <w:b/>
                <w:sz w:val="20"/>
                <w:szCs w:val="22"/>
                <w:lang w:val="el-GR"/>
              </w:rPr>
              <w:t>Κλινικές εκδηλώσεις</w:t>
            </w:r>
          </w:p>
        </w:tc>
      </w:tr>
      <w:tr w:rsidR="00814DB4" w:rsidRPr="001660D3" w14:paraId="6305D95C" w14:textId="77777777" w:rsidTr="00814DB4">
        <w:tc>
          <w:tcPr>
            <w:tcW w:w="0" w:type="auto"/>
          </w:tcPr>
          <w:p w14:paraId="2AF76EEA" w14:textId="77777777" w:rsidR="00814DB4" w:rsidRPr="0026388B" w:rsidRDefault="00814DB4"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Βλεννογονο-δερματικό</w:t>
            </w:r>
          </w:p>
        </w:tc>
        <w:tc>
          <w:tcPr>
            <w:tcW w:w="0" w:type="auto"/>
          </w:tcPr>
          <w:p w14:paraId="7166DDB2"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Δερματικός λύκος με έκταση &gt;18% </w:t>
            </w:r>
            <w:r w:rsidR="00E572B5">
              <w:rPr>
                <w:rFonts w:asciiTheme="majorHAnsi" w:hAnsiTheme="majorHAnsi" w:cs="Times New Roman"/>
                <w:sz w:val="20"/>
                <w:szCs w:val="22"/>
                <w:lang w:val="el-GR"/>
              </w:rPr>
              <w:t>επιφάνειας σώματος [</w:t>
            </w:r>
            <w:r w:rsidRPr="0026388B">
              <w:rPr>
                <w:rFonts w:asciiTheme="majorHAnsi" w:hAnsiTheme="majorHAnsi" w:cs="Times New Roman"/>
                <w:sz w:val="20"/>
                <w:szCs w:val="22"/>
                <w:lang w:val="el-GR"/>
              </w:rPr>
              <w:t>ΕΣ</w:t>
            </w:r>
            <w:r w:rsidR="00E572B5">
              <w:rPr>
                <w:rFonts w:asciiTheme="majorHAnsi" w:hAnsiTheme="majorHAnsi" w:cs="Times New Roman"/>
                <w:sz w:val="20"/>
                <w:szCs w:val="22"/>
                <w:lang w:val="el-GR"/>
              </w:rPr>
              <w:t>]</w:t>
            </w:r>
            <w:r w:rsidRPr="0026388B">
              <w:rPr>
                <w:rFonts w:asciiTheme="majorHAnsi" w:hAnsiTheme="majorHAnsi" w:cs="Times New Roman"/>
                <w:sz w:val="20"/>
                <w:szCs w:val="22"/>
                <w:lang w:val="el-GR"/>
              </w:rPr>
              <w:t xml:space="preserve">, φυσαλιδώδες εξάνθημα σε &gt;9% ΕΣ ή/και προσβολή προσώπου ή/και που προκαλεί εξέλκωση, </w:t>
            </w:r>
          </w:p>
          <w:p w14:paraId="1253FBF0"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Αγγειοοίδημα με προσβολή αεραγωγών (απειλητικό για τη ζωή)</w:t>
            </w:r>
          </w:p>
          <w:p w14:paraId="3AF4ECD8"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Υποδερματίτιδα σε &gt;9% ΕΣ ή/και προσβολή προσώπου ή/και που προκαλεί εξέλκωση</w:t>
            </w:r>
          </w:p>
          <w:p w14:paraId="612EFF52"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Αγγειΐτιδικό εξάνθημα σε &gt;18% ΕΣ ή/και που προκαλεί εκτεταμένη γάγγραινα/εξέλκωση </w:t>
            </w:r>
          </w:p>
        </w:tc>
      </w:tr>
      <w:tr w:rsidR="00814DB4" w:rsidRPr="001660D3" w14:paraId="43B13783" w14:textId="77777777" w:rsidTr="00814DB4">
        <w:tc>
          <w:tcPr>
            <w:tcW w:w="0" w:type="auto"/>
          </w:tcPr>
          <w:p w14:paraId="72707FD3" w14:textId="77777777" w:rsidR="00814DB4" w:rsidRPr="0026388B" w:rsidRDefault="00814DB4"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Μυοσκελετικό</w:t>
            </w:r>
          </w:p>
        </w:tc>
        <w:tc>
          <w:tcPr>
            <w:tcW w:w="0" w:type="auto"/>
          </w:tcPr>
          <w:p w14:paraId="60E4C6F3"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Μυοσίτιδα με έκπτωση μυϊκής ισχύος &lt;4/5 ή/και προσβολή αναπνευστικών μυών, ή μυών αυχένα-κεφαλής, φάρυγγα</w:t>
            </w:r>
          </w:p>
        </w:tc>
      </w:tr>
      <w:tr w:rsidR="00814DB4" w:rsidRPr="001660D3" w14:paraId="36140042" w14:textId="77777777" w:rsidTr="00814DB4">
        <w:tc>
          <w:tcPr>
            <w:tcW w:w="0" w:type="auto"/>
          </w:tcPr>
          <w:p w14:paraId="00AB7143" w14:textId="77777777" w:rsidR="00814DB4" w:rsidRPr="0026388B" w:rsidRDefault="00814DB4"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Καρδιο-αναπνευστικό</w:t>
            </w:r>
          </w:p>
        </w:tc>
        <w:tc>
          <w:tcPr>
            <w:tcW w:w="0" w:type="auto"/>
          </w:tcPr>
          <w:p w14:paraId="4C24D48E"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Σοβαρή εξιδρωματική συλλογή (πλευριτική συλλογή με υποξαιμία, περικαρδιακή συλλογή με αιμοδυναμική αστάθεια, μεγάλη ασκιτική συλλογή)</w:t>
            </w:r>
          </w:p>
          <w:p w14:paraId="3BFB34C9"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Κυψελιδική αιμορραγία, πνευμονίτιδα, διάμεση πνευμονοπάθεια, πνεύμονας λύκου, </w:t>
            </w:r>
          </w:p>
          <w:p w14:paraId="2F24E939"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Μυοκαρδίτιδα, μη-λοιμώδης ενδοκαρδίτιδα, αορτίτιδα, αγγειΐτιδα στεφανιαίων αγγείων</w:t>
            </w:r>
          </w:p>
        </w:tc>
      </w:tr>
      <w:tr w:rsidR="00814DB4" w:rsidRPr="0026388B" w14:paraId="381F1C3D" w14:textId="77777777" w:rsidTr="00814DB4">
        <w:tc>
          <w:tcPr>
            <w:tcW w:w="0" w:type="auto"/>
          </w:tcPr>
          <w:p w14:paraId="385AA192" w14:textId="77777777" w:rsidR="00814DB4" w:rsidRPr="0026388B" w:rsidRDefault="00814DB4"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Γαστρεντερικό</w:t>
            </w:r>
          </w:p>
        </w:tc>
        <w:tc>
          <w:tcPr>
            <w:tcW w:w="0" w:type="auto"/>
          </w:tcPr>
          <w:p w14:paraId="07F51D5B"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Σοβαρές γαστρεντερικές εκδηλώσεις (παγκρεατίτιδα, σύνδρομο δυσαπορρόφησης, εντεροπάθεια με απώλεια πρωτεϊνών)</w:t>
            </w:r>
          </w:p>
          <w:p w14:paraId="6173F231"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Μεσεντέρια αγγειΐτιδα</w:t>
            </w:r>
          </w:p>
        </w:tc>
      </w:tr>
      <w:tr w:rsidR="00814DB4" w:rsidRPr="001660D3" w14:paraId="515F968A" w14:textId="77777777" w:rsidTr="00814DB4">
        <w:tc>
          <w:tcPr>
            <w:tcW w:w="0" w:type="auto"/>
          </w:tcPr>
          <w:p w14:paraId="1C8B3338" w14:textId="77777777" w:rsidR="00814DB4" w:rsidRPr="0026388B" w:rsidRDefault="00814DB4"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Νεφρικό</w:t>
            </w:r>
          </w:p>
        </w:tc>
        <w:tc>
          <w:tcPr>
            <w:tcW w:w="0" w:type="auto"/>
          </w:tcPr>
          <w:p w14:paraId="2338A3C4"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Ενεργός νεφρίτιδα τάξης ΙΙΙ/</w:t>
            </w:r>
            <w:r w:rsidRPr="0026388B">
              <w:rPr>
                <w:rFonts w:asciiTheme="majorHAnsi" w:hAnsiTheme="majorHAnsi" w:cs="Times New Roman"/>
                <w:sz w:val="20"/>
                <w:szCs w:val="22"/>
              </w:rPr>
              <w:t>IV</w:t>
            </w:r>
            <w:r w:rsidRPr="00ED4C67">
              <w:rPr>
                <w:rFonts w:asciiTheme="majorHAnsi" w:hAnsiTheme="majorHAnsi" w:cs="Times New Roman"/>
                <w:sz w:val="20"/>
                <w:szCs w:val="22"/>
                <w:lang w:val="el-GR"/>
              </w:rPr>
              <w:t xml:space="preserve"> (±</w:t>
            </w:r>
            <w:r w:rsidRPr="0026388B">
              <w:rPr>
                <w:rFonts w:asciiTheme="majorHAnsi" w:hAnsiTheme="majorHAnsi" w:cs="Times New Roman"/>
                <w:sz w:val="20"/>
                <w:szCs w:val="22"/>
              </w:rPr>
              <w:t>V</w:t>
            </w:r>
            <w:r w:rsidRPr="00ED4C67">
              <w:rPr>
                <w:rFonts w:asciiTheme="majorHAnsi" w:hAnsiTheme="majorHAnsi" w:cs="Times New Roman"/>
                <w:sz w:val="20"/>
                <w:szCs w:val="22"/>
                <w:lang w:val="el-GR"/>
              </w:rPr>
              <w:t xml:space="preserve">) </w:t>
            </w:r>
            <w:r w:rsidRPr="0026388B">
              <w:rPr>
                <w:rFonts w:asciiTheme="majorHAnsi" w:hAnsiTheme="majorHAnsi" w:cs="Times New Roman"/>
                <w:sz w:val="20"/>
                <w:szCs w:val="22"/>
                <w:lang w:val="el-GR"/>
              </w:rPr>
              <w:t xml:space="preserve">κατά </w:t>
            </w:r>
            <w:r w:rsidRPr="0026388B">
              <w:rPr>
                <w:rFonts w:asciiTheme="majorHAnsi" w:hAnsiTheme="majorHAnsi" w:cs="Times New Roman"/>
                <w:sz w:val="20"/>
                <w:szCs w:val="22"/>
              </w:rPr>
              <w:t>ISN</w:t>
            </w:r>
            <w:r w:rsidRPr="00ED4C67">
              <w:rPr>
                <w:rFonts w:asciiTheme="majorHAnsi" w:hAnsiTheme="majorHAnsi" w:cs="Times New Roman"/>
                <w:sz w:val="20"/>
                <w:szCs w:val="22"/>
                <w:lang w:val="el-GR"/>
              </w:rPr>
              <w:t>/</w:t>
            </w:r>
            <w:r w:rsidRPr="0026388B">
              <w:rPr>
                <w:rFonts w:asciiTheme="majorHAnsi" w:hAnsiTheme="majorHAnsi" w:cs="Times New Roman"/>
                <w:sz w:val="20"/>
                <w:szCs w:val="22"/>
              </w:rPr>
              <w:t>RPS</w:t>
            </w:r>
            <w:r w:rsidRPr="00ED4C67">
              <w:rPr>
                <w:rFonts w:asciiTheme="majorHAnsi" w:hAnsiTheme="majorHAnsi" w:cs="Times New Roman"/>
                <w:sz w:val="20"/>
                <w:szCs w:val="22"/>
                <w:lang w:val="el-GR"/>
              </w:rPr>
              <w:t xml:space="preserve"> (</w:t>
            </w:r>
            <w:r w:rsidRPr="0026388B">
              <w:rPr>
                <w:rFonts w:asciiTheme="majorHAnsi" w:hAnsiTheme="majorHAnsi" w:cs="Times New Roman"/>
                <w:sz w:val="20"/>
                <w:szCs w:val="22"/>
                <w:lang w:val="el-GR"/>
              </w:rPr>
              <w:t>υπερπλαστική, μεμβρανο-υπερπλαστική)</w:t>
            </w:r>
          </w:p>
          <w:p w14:paraId="4EEF676D"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Νεφρίτιδα τάξης </w:t>
            </w:r>
            <w:r w:rsidRPr="0026388B">
              <w:rPr>
                <w:rFonts w:asciiTheme="majorHAnsi" w:hAnsiTheme="majorHAnsi" w:cs="Times New Roman"/>
                <w:sz w:val="20"/>
                <w:szCs w:val="22"/>
              </w:rPr>
              <w:t>V</w:t>
            </w:r>
            <w:r w:rsidRPr="00ED4C67">
              <w:rPr>
                <w:rFonts w:asciiTheme="majorHAnsi" w:hAnsiTheme="majorHAnsi" w:cs="Times New Roman"/>
                <w:sz w:val="20"/>
                <w:szCs w:val="22"/>
                <w:lang w:val="el-GR"/>
              </w:rPr>
              <w:t xml:space="preserve"> </w:t>
            </w:r>
            <w:r w:rsidRPr="0026388B">
              <w:rPr>
                <w:rFonts w:asciiTheme="majorHAnsi" w:hAnsiTheme="majorHAnsi" w:cs="Times New Roman"/>
                <w:sz w:val="20"/>
                <w:szCs w:val="22"/>
                <w:lang w:val="el-GR"/>
              </w:rPr>
              <w:t xml:space="preserve">κατά </w:t>
            </w:r>
            <w:r w:rsidRPr="0026388B">
              <w:rPr>
                <w:rFonts w:asciiTheme="majorHAnsi" w:hAnsiTheme="majorHAnsi" w:cs="Times New Roman"/>
                <w:sz w:val="20"/>
                <w:szCs w:val="22"/>
              </w:rPr>
              <w:t>ISN</w:t>
            </w:r>
            <w:r w:rsidRPr="00ED4C67">
              <w:rPr>
                <w:rFonts w:asciiTheme="majorHAnsi" w:hAnsiTheme="majorHAnsi" w:cs="Times New Roman"/>
                <w:sz w:val="20"/>
                <w:szCs w:val="22"/>
                <w:lang w:val="el-GR"/>
              </w:rPr>
              <w:t>/</w:t>
            </w:r>
            <w:r w:rsidRPr="0026388B">
              <w:rPr>
                <w:rFonts w:asciiTheme="majorHAnsi" w:hAnsiTheme="majorHAnsi" w:cs="Times New Roman"/>
                <w:sz w:val="20"/>
                <w:szCs w:val="22"/>
              </w:rPr>
              <w:t>RPS</w:t>
            </w:r>
            <w:r w:rsidRPr="00ED4C67">
              <w:rPr>
                <w:rFonts w:asciiTheme="majorHAnsi" w:hAnsiTheme="majorHAnsi" w:cs="Times New Roman"/>
                <w:sz w:val="20"/>
                <w:szCs w:val="22"/>
                <w:lang w:val="el-GR"/>
              </w:rPr>
              <w:t xml:space="preserve"> (</w:t>
            </w:r>
            <w:r w:rsidRPr="0026388B">
              <w:rPr>
                <w:rFonts w:asciiTheme="majorHAnsi" w:hAnsiTheme="majorHAnsi" w:cs="Times New Roman"/>
                <w:sz w:val="20"/>
                <w:szCs w:val="22"/>
                <w:lang w:val="el-GR"/>
              </w:rPr>
              <w:t>αμιγώς μεμβρανώδης) με νεφρωσικού ορίου πρωτεϊνουρία</w:t>
            </w:r>
          </w:p>
        </w:tc>
      </w:tr>
      <w:tr w:rsidR="00814DB4" w:rsidRPr="001660D3" w14:paraId="479FF506" w14:textId="77777777" w:rsidTr="00814DB4">
        <w:tc>
          <w:tcPr>
            <w:tcW w:w="0" w:type="auto"/>
          </w:tcPr>
          <w:p w14:paraId="5B1F1315" w14:textId="77777777" w:rsidR="00814DB4" w:rsidRPr="0026388B" w:rsidRDefault="00814DB4"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Αιματολογικό</w:t>
            </w:r>
          </w:p>
        </w:tc>
        <w:tc>
          <w:tcPr>
            <w:tcW w:w="0" w:type="auto"/>
          </w:tcPr>
          <w:p w14:paraId="522BFC7F"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Αυτοάνοση αιμολυτική αναιμία με Hb &lt;8 g/dL</w:t>
            </w:r>
          </w:p>
          <w:p w14:paraId="7C82753E"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Λευκοπενία &lt;1000/μl, ουδετεροπενία &lt;500/μl, λεμφοπενία &lt;500/μl, </w:t>
            </w:r>
          </w:p>
          <w:p w14:paraId="33D8B4F3"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 xml:space="preserve">Θρομβοπενία &lt;20.000/μl, </w:t>
            </w:r>
          </w:p>
          <w:p w14:paraId="1BA297A2"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Θρομβωτική θρομβοπενική πορφύρα (ΤΤΡ) ή ‘ΤΤΡ-like’</w:t>
            </w:r>
          </w:p>
        </w:tc>
      </w:tr>
      <w:tr w:rsidR="00814DB4" w:rsidRPr="0026388B" w14:paraId="10EA215D" w14:textId="77777777" w:rsidTr="00814DB4">
        <w:tc>
          <w:tcPr>
            <w:tcW w:w="0" w:type="auto"/>
          </w:tcPr>
          <w:p w14:paraId="5E87B27B" w14:textId="77777777" w:rsidR="00814DB4" w:rsidRPr="0026388B" w:rsidRDefault="00814DB4"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Οφθαλμολογικό</w:t>
            </w:r>
          </w:p>
        </w:tc>
        <w:tc>
          <w:tcPr>
            <w:tcW w:w="0" w:type="auto"/>
          </w:tcPr>
          <w:p w14:paraId="16D70795"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Σοβαρή πρόσθια ή οπίσθια ραγοειδίτιδα</w:t>
            </w:r>
          </w:p>
          <w:p w14:paraId="524A8C03"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Σοβαρή σκληρίτιδα ή επισκληρίτιδα</w:t>
            </w:r>
          </w:p>
        </w:tc>
      </w:tr>
      <w:tr w:rsidR="00814DB4" w:rsidRPr="001660D3" w14:paraId="31C853C6" w14:textId="77777777" w:rsidTr="00814DB4">
        <w:tc>
          <w:tcPr>
            <w:tcW w:w="0" w:type="auto"/>
          </w:tcPr>
          <w:p w14:paraId="010EB133" w14:textId="77777777" w:rsidR="00814DB4" w:rsidRPr="0026388B" w:rsidRDefault="00814DB4" w:rsidP="002F31CB">
            <w:pPr>
              <w:tabs>
                <w:tab w:val="left" w:pos="426"/>
              </w:tabs>
              <w:spacing w:after="120" w:line="360" w:lineRule="auto"/>
              <w:ind w:right="1093"/>
              <w:rPr>
                <w:rFonts w:asciiTheme="majorHAnsi" w:hAnsiTheme="majorHAnsi" w:cs="Times New Roman"/>
                <w:sz w:val="20"/>
                <w:szCs w:val="22"/>
                <w:lang w:val="el-GR"/>
              </w:rPr>
            </w:pPr>
            <w:r w:rsidRPr="0026388B">
              <w:rPr>
                <w:rFonts w:asciiTheme="majorHAnsi" w:hAnsiTheme="majorHAnsi" w:cs="Times New Roman"/>
                <w:sz w:val="20"/>
                <w:szCs w:val="22"/>
                <w:lang w:val="el-GR"/>
              </w:rPr>
              <w:t>Νευρολογικό</w:t>
            </w:r>
          </w:p>
        </w:tc>
        <w:tc>
          <w:tcPr>
            <w:tcW w:w="0" w:type="auto"/>
          </w:tcPr>
          <w:p w14:paraId="2BB09EC9" w14:textId="77777777" w:rsidR="00814DB4" w:rsidRPr="0026388B" w:rsidRDefault="00814DB4" w:rsidP="002F31CB">
            <w:pPr>
              <w:pStyle w:val="ListParagraph"/>
              <w:numPr>
                <w:ilvl w:val="0"/>
                <w:numId w:val="20"/>
              </w:numPr>
              <w:spacing w:after="120" w:line="360" w:lineRule="auto"/>
              <w:ind w:left="170" w:right="1093" w:hanging="170"/>
              <w:contextualSpacing w:val="0"/>
              <w:jc w:val="both"/>
              <w:rPr>
                <w:rFonts w:asciiTheme="majorHAnsi" w:hAnsiTheme="majorHAnsi" w:cs="Times New Roman"/>
                <w:sz w:val="20"/>
                <w:szCs w:val="22"/>
                <w:lang w:val="el-GR"/>
              </w:rPr>
            </w:pPr>
            <w:r w:rsidRPr="0026388B">
              <w:rPr>
                <w:rFonts w:asciiTheme="majorHAnsi" w:hAnsiTheme="majorHAnsi" w:cs="Times New Roman"/>
                <w:sz w:val="20"/>
                <w:szCs w:val="22"/>
                <w:lang w:val="el-GR"/>
              </w:rPr>
              <w:t>Φλεγμονώδεις εκδηλώσεις: απομυελινωτικό σύνδρομο (μυελοπάθεια, οπτική νευρίτιδα, MS-like), ψυχωσική συνδρομή, χορεία/κινητική διαταραχή, σοβαρή επιληπτική διαταραχή, αγγειακή εγκεφαλική νόσος, μείζονα κατάθλιψη</w:t>
            </w:r>
          </w:p>
        </w:tc>
      </w:tr>
    </w:tbl>
    <w:p w14:paraId="6D428E3C" w14:textId="77777777" w:rsidR="005353FD" w:rsidRPr="0026388B" w:rsidRDefault="005353FD" w:rsidP="002F31CB">
      <w:pPr>
        <w:spacing w:after="120" w:line="360" w:lineRule="auto"/>
        <w:ind w:right="1093"/>
        <w:jc w:val="both"/>
        <w:rPr>
          <w:rFonts w:asciiTheme="majorHAnsi" w:hAnsiTheme="majorHAnsi" w:cs="Times New Roman"/>
          <w:sz w:val="22"/>
          <w:szCs w:val="22"/>
          <w:lang w:val="el-GR"/>
        </w:rPr>
      </w:pPr>
    </w:p>
    <w:p w14:paraId="2D5777F1" w14:textId="3A60FE5F" w:rsidR="00A36209" w:rsidRPr="0026388B" w:rsidRDefault="00F50261" w:rsidP="002F31CB">
      <w:pPr>
        <w:spacing w:after="120" w:line="360" w:lineRule="auto"/>
        <w:ind w:right="1093"/>
        <w:jc w:val="both"/>
        <w:rPr>
          <w:rFonts w:asciiTheme="majorHAnsi" w:hAnsiTheme="majorHAnsi" w:cs="Times New Roman"/>
          <w:sz w:val="22"/>
          <w:szCs w:val="22"/>
          <w:lang w:val="el-GR"/>
        </w:rPr>
      </w:pPr>
      <w:r w:rsidRPr="00F50261">
        <w:rPr>
          <w:rFonts w:asciiTheme="majorHAnsi" w:hAnsiTheme="majorHAnsi" w:cs="Times New Roman"/>
          <w:szCs w:val="22"/>
          <w:vertAlign w:val="superscript"/>
          <w:lang w:val="el-GR"/>
        </w:rPr>
        <w:t>*</w:t>
      </w:r>
      <w:r w:rsidR="00A36209" w:rsidRPr="0026388B">
        <w:rPr>
          <w:rFonts w:asciiTheme="majorHAnsi" w:hAnsiTheme="majorHAnsi" w:cs="Times New Roman"/>
          <w:sz w:val="22"/>
          <w:szCs w:val="22"/>
          <w:lang w:val="el-GR"/>
        </w:rPr>
        <w:t>Λαμβάνοντας υπόψη το σύστημα BILAG 2004 (Isenberg DA, et al. Rheumatology. 2005; 44 (7): 902-906)</w:t>
      </w:r>
    </w:p>
    <w:p w14:paraId="0FA11638" w14:textId="77777777" w:rsidR="00E65CB3" w:rsidRPr="0026388B" w:rsidRDefault="00E65CB3" w:rsidP="002F31CB">
      <w:pPr>
        <w:spacing w:after="120" w:line="360" w:lineRule="auto"/>
        <w:ind w:right="1093"/>
        <w:jc w:val="both"/>
        <w:rPr>
          <w:rFonts w:asciiTheme="majorHAnsi" w:hAnsiTheme="majorHAnsi" w:cs="Times New Roman"/>
          <w:sz w:val="22"/>
          <w:szCs w:val="22"/>
          <w:lang w:val="el-GR"/>
        </w:rPr>
      </w:pPr>
    </w:p>
    <w:p w14:paraId="31DE28A1" w14:textId="77777777" w:rsidR="00264FDB" w:rsidRPr="0026388B" w:rsidRDefault="00264FDB" w:rsidP="002F31CB">
      <w:pPr>
        <w:spacing w:after="120" w:line="360" w:lineRule="auto"/>
        <w:ind w:right="1093"/>
        <w:jc w:val="both"/>
        <w:rPr>
          <w:rFonts w:asciiTheme="majorHAnsi" w:hAnsiTheme="majorHAnsi" w:cs="Times New Roman"/>
          <w:b/>
          <w:sz w:val="22"/>
          <w:szCs w:val="22"/>
          <w:lang w:val="el-GR"/>
        </w:rPr>
      </w:pPr>
    </w:p>
    <w:sectPr w:rsidR="00264FDB" w:rsidRPr="0026388B" w:rsidSect="00264FDB">
      <w:headerReference w:type="even" r:id="rId10"/>
      <w:footerReference w:type="even" r:id="rId11"/>
      <w:footerReference w:type="defaul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9B7F8" w14:textId="77777777" w:rsidR="00E15D73" w:rsidRDefault="00E15D73" w:rsidP="009900BD">
      <w:r>
        <w:separator/>
      </w:r>
    </w:p>
  </w:endnote>
  <w:endnote w:type="continuationSeparator" w:id="0">
    <w:p w14:paraId="78CBCBFC" w14:textId="77777777" w:rsidR="00E15D73" w:rsidRDefault="00E15D73" w:rsidP="0099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6CDC" w14:textId="77777777" w:rsidR="00D83D97" w:rsidRDefault="00D83D97" w:rsidP="003C3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C090A" w14:textId="77777777" w:rsidR="00D83D97" w:rsidRDefault="00D83D97" w:rsidP="003C3B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07989"/>
      <w:docPartObj>
        <w:docPartGallery w:val="Page Numbers (Bottom of Page)"/>
        <w:docPartUnique/>
      </w:docPartObj>
    </w:sdtPr>
    <w:sdtEndPr>
      <w:rPr>
        <w:noProof/>
      </w:rPr>
    </w:sdtEndPr>
    <w:sdtContent>
      <w:p w14:paraId="38C4382F" w14:textId="1E3C1C94" w:rsidR="002F31CB" w:rsidRDefault="002F31CB">
        <w:pPr>
          <w:pStyle w:val="Footer"/>
          <w:jc w:val="right"/>
        </w:pPr>
        <w:r>
          <w:fldChar w:fldCharType="begin"/>
        </w:r>
        <w:r>
          <w:instrText xml:space="preserve"> PAGE   \* MERGEFORMAT </w:instrText>
        </w:r>
        <w:r>
          <w:fldChar w:fldCharType="separate"/>
        </w:r>
        <w:r w:rsidR="00E15D73">
          <w:rPr>
            <w:noProof/>
          </w:rPr>
          <w:t>1</w:t>
        </w:r>
        <w:r>
          <w:rPr>
            <w:noProof/>
          </w:rPr>
          <w:fldChar w:fldCharType="end"/>
        </w:r>
      </w:p>
    </w:sdtContent>
  </w:sdt>
  <w:p w14:paraId="0AADFB82" w14:textId="77777777" w:rsidR="00D83D97" w:rsidRDefault="00D83D97" w:rsidP="003C3B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70143" w14:textId="77777777" w:rsidR="00E15D73" w:rsidRDefault="00E15D73" w:rsidP="009900BD">
      <w:r>
        <w:separator/>
      </w:r>
    </w:p>
  </w:footnote>
  <w:footnote w:type="continuationSeparator" w:id="0">
    <w:p w14:paraId="3FA23976" w14:textId="77777777" w:rsidR="00E15D73" w:rsidRDefault="00E15D73" w:rsidP="00990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6A73" w14:textId="77777777" w:rsidR="000E28CF" w:rsidRDefault="00E15D73">
    <w:pPr>
      <w:pStyle w:val="Header"/>
    </w:pPr>
    <w:sdt>
      <w:sdtPr>
        <w:id w:val="171999623"/>
        <w:placeholder>
          <w:docPart w:val="36819918AAF5D7488143D99FD9671286"/>
        </w:placeholder>
        <w:temporary/>
        <w:showingPlcHdr/>
      </w:sdtPr>
      <w:sdtEndPr/>
      <w:sdtContent>
        <w:r w:rsidR="000E28CF">
          <w:t>[Type text]</w:t>
        </w:r>
      </w:sdtContent>
    </w:sdt>
    <w:r w:rsidR="000E28CF">
      <w:ptab w:relativeTo="margin" w:alignment="center" w:leader="none"/>
    </w:r>
    <w:sdt>
      <w:sdtPr>
        <w:id w:val="171999624"/>
        <w:placeholder>
          <w:docPart w:val="8CA0B045AFC3AA48B44F43CABF9A0675"/>
        </w:placeholder>
        <w:temporary/>
        <w:showingPlcHdr/>
      </w:sdtPr>
      <w:sdtEndPr/>
      <w:sdtContent>
        <w:r w:rsidR="000E28CF">
          <w:t>[Type text]</w:t>
        </w:r>
      </w:sdtContent>
    </w:sdt>
    <w:r w:rsidR="000E28CF">
      <w:ptab w:relativeTo="margin" w:alignment="right" w:leader="none"/>
    </w:r>
    <w:sdt>
      <w:sdtPr>
        <w:id w:val="171999625"/>
        <w:placeholder>
          <w:docPart w:val="5827CF181E430A41946C827E56931E1E"/>
        </w:placeholder>
        <w:temporary/>
        <w:showingPlcHdr/>
      </w:sdtPr>
      <w:sdtEndPr/>
      <w:sdtContent>
        <w:r w:rsidR="000E28CF">
          <w:t>[Type text]</w:t>
        </w:r>
      </w:sdtContent>
    </w:sdt>
  </w:p>
  <w:p w14:paraId="1C8D98AB" w14:textId="77777777" w:rsidR="000E28CF" w:rsidRDefault="000E2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B5C"/>
    <w:multiLevelType w:val="hybridMultilevel"/>
    <w:tmpl w:val="BAEA3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036DC3"/>
    <w:multiLevelType w:val="hybridMultilevel"/>
    <w:tmpl w:val="33EC47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62315"/>
    <w:multiLevelType w:val="hybridMultilevel"/>
    <w:tmpl w:val="28A2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B51EE"/>
    <w:multiLevelType w:val="hybridMultilevel"/>
    <w:tmpl w:val="DA48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63C40"/>
    <w:multiLevelType w:val="hybridMultilevel"/>
    <w:tmpl w:val="41F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22F2F"/>
    <w:multiLevelType w:val="hybridMultilevel"/>
    <w:tmpl w:val="934077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2398"/>
    <w:multiLevelType w:val="hybridMultilevel"/>
    <w:tmpl w:val="9002091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nsid w:val="4344393A"/>
    <w:multiLevelType w:val="hybridMultilevel"/>
    <w:tmpl w:val="28523FE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8576FA"/>
    <w:multiLevelType w:val="hybridMultilevel"/>
    <w:tmpl w:val="3E1898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57259"/>
    <w:multiLevelType w:val="hybridMultilevel"/>
    <w:tmpl w:val="2D4061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BA50CF"/>
    <w:multiLevelType w:val="hybridMultilevel"/>
    <w:tmpl w:val="BD04E1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349D2"/>
    <w:multiLevelType w:val="hybridMultilevel"/>
    <w:tmpl w:val="77B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71272"/>
    <w:multiLevelType w:val="hybridMultilevel"/>
    <w:tmpl w:val="EC5A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54AB5"/>
    <w:multiLevelType w:val="hybridMultilevel"/>
    <w:tmpl w:val="A3A697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AA642C"/>
    <w:multiLevelType w:val="hybridMultilevel"/>
    <w:tmpl w:val="4CFCD9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F2216"/>
    <w:multiLevelType w:val="hybridMultilevel"/>
    <w:tmpl w:val="D0560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1C5CEC"/>
    <w:multiLevelType w:val="hybridMultilevel"/>
    <w:tmpl w:val="39B686EC"/>
    <w:lvl w:ilvl="0" w:tplc="85269D04">
      <w:start w:val="1"/>
      <w:numFmt w:val="decimal"/>
      <w:lvlText w:val="%1."/>
      <w:lvlJc w:val="left"/>
      <w:pPr>
        <w:ind w:left="360" w:hanging="360"/>
      </w:pPr>
      <w:rPr>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770CCC"/>
    <w:multiLevelType w:val="hybridMultilevel"/>
    <w:tmpl w:val="2F040A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9C7290"/>
    <w:multiLevelType w:val="hybridMultilevel"/>
    <w:tmpl w:val="BE8A46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81E82"/>
    <w:multiLevelType w:val="hybridMultilevel"/>
    <w:tmpl w:val="2B04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84C5A"/>
    <w:multiLevelType w:val="hybridMultilevel"/>
    <w:tmpl w:val="B3B0D8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3"/>
  </w:num>
  <w:num w:numId="8">
    <w:abstractNumId w:val="10"/>
  </w:num>
  <w:num w:numId="9">
    <w:abstractNumId w:val="14"/>
  </w:num>
  <w:num w:numId="10">
    <w:abstractNumId w:val="17"/>
  </w:num>
  <w:num w:numId="11">
    <w:abstractNumId w:val="18"/>
  </w:num>
  <w:num w:numId="12">
    <w:abstractNumId w:val="5"/>
  </w:num>
  <w:num w:numId="13">
    <w:abstractNumId w:val="8"/>
  </w:num>
  <w:num w:numId="14">
    <w:abstractNumId w:val="1"/>
  </w:num>
  <w:num w:numId="15">
    <w:abstractNumId w:val="6"/>
  </w:num>
  <w:num w:numId="16">
    <w:abstractNumId w:val="20"/>
  </w:num>
  <w:num w:numId="17">
    <w:abstractNumId w:val="2"/>
  </w:num>
  <w:num w:numId="18">
    <w:abstractNumId w:val="11"/>
  </w:num>
  <w:num w:numId="19">
    <w:abstractNumId w:val="1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64FDB"/>
    <w:rsid w:val="000004E6"/>
    <w:rsid w:val="000266F8"/>
    <w:rsid w:val="0004440F"/>
    <w:rsid w:val="00075050"/>
    <w:rsid w:val="00081645"/>
    <w:rsid w:val="00095513"/>
    <w:rsid w:val="000A56AE"/>
    <w:rsid w:val="000B7D39"/>
    <w:rsid w:val="000D346F"/>
    <w:rsid w:val="000D7578"/>
    <w:rsid w:val="000E28CF"/>
    <w:rsid w:val="001039D5"/>
    <w:rsid w:val="00107526"/>
    <w:rsid w:val="00125258"/>
    <w:rsid w:val="00134936"/>
    <w:rsid w:val="001660D3"/>
    <w:rsid w:val="001A59BB"/>
    <w:rsid w:val="001A6410"/>
    <w:rsid w:val="001B488B"/>
    <w:rsid w:val="001E02A5"/>
    <w:rsid w:val="00216284"/>
    <w:rsid w:val="0026388B"/>
    <w:rsid w:val="00264FDB"/>
    <w:rsid w:val="002B5708"/>
    <w:rsid w:val="002D55C4"/>
    <w:rsid w:val="002E2838"/>
    <w:rsid w:val="002E3FA0"/>
    <w:rsid w:val="002F31CB"/>
    <w:rsid w:val="002F5C42"/>
    <w:rsid w:val="002F7CAB"/>
    <w:rsid w:val="0034213E"/>
    <w:rsid w:val="003477D6"/>
    <w:rsid w:val="003C3BE9"/>
    <w:rsid w:val="003C440C"/>
    <w:rsid w:val="003C6AD7"/>
    <w:rsid w:val="003D2DFE"/>
    <w:rsid w:val="003E2822"/>
    <w:rsid w:val="003E2AFB"/>
    <w:rsid w:val="003F7229"/>
    <w:rsid w:val="00413FC5"/>
    <w:rsid w:val="00445EFF"/>
    <w:rsid w:val="00462774"/>
    <w:rsid w:val="00475478"/>
    <w:rsid w:val="004A2043"/>
    <w:rsid w:val="004A3EBC"/>
    <w:rsid w:val="004A58D6"/>
    <w:rsid w:val="004B5C41"/>
    <w:rsid w:val="004F5922"/>
    <w:rsid w:val="005353FD"/>
    <w:rsid w:val="00562824"/>
    <w:rsid w:val="00581CA7"/>
    <w:rsid w:val="005E0B93"/>
    <w:rsid w:val="00621506"/>
    <w:rsid w:val="006651E5"/>
    <w:rsid w:val="0067322E"/>
    <w:rsid w:val="00695367"/>
    <w:rsid w:val="006A0376"/>
    <w:rsid w:val="006A3D22"/>
    <w:rsid w:val="006B096E"/>
    <w:rsid w:val="006C0793"/>
    <w:rsid w:val="006D770C"/>
    <w:rsid w:val="006F4BC6"/>
    <w:rsid w:val="00706BDF"/>
    <w:rsid w:val="00731659"/>
    <w:rsid w:val="007466F5"/>
    <w:rsid w:val="00771AEB"/>
    <w:rsid w:val="00771CCE"/>
    <w:rsid w:val="00781440"/>
    <w:rsid w:val="00793617"/>
    <w:rsid w:val="0079420C"/>
    <w:rsid w:val="007B39A8"/>
    <w:rsid w:val="007B6787"/>
    <w:rsid w:val="007C6123"/>
    <w:rsid w:val="007D124B"/>
    <w:rsid w:val="007D362C"/>
    <w:rsid w:val="00814DB4"/>
    <w:rsid w:val="008528E0"/>
    <w:rsid w:val="008716F7"/>
    <w:rsid w:val="008768A7"/>
    <w:rsid w:val="008D63F2"/>
    <w:rsid w:val="008E3268"/>
    <w:rsid w:val="008F159C"/>
    <w:rsid w:val="00904397"/>
    <w:rsid w:val="009454F2"/>
    <w:rsid w:val="00963559"/>
    <w:rsid w:val="009900BD"/>
    <w:rsid w:val="009A4A11"/>
    <w:rsid w:val="009B5365"/>
    <w:rsid w:val="00A05119"/>
    <w:rsid w:val="00A36209"/>
    <w:rsid w:val="00A3739F"/>
    <w:rsid w:val="00A51561"/>
    <w:rsid w:val="00A634E9"/>
    <w:rsid w:val="00A758EF"/>
    <w:rsid w:val="00A830BB"/>
    <w:rsid w:val="00A8586C"/>
    <w:rsid w:val="00A85A57"/>
    <w:rsid w:val="00AE4BD9"/>
    <w:rsid w:val="00B26314"/>
    <w:rsid w:val="00B678A2"/>
    <w:rsid w:val="00B71E5E"/>
    <w:rsid w:val="00C57D77"/>
    <w:rsid w:val="00C62F04"/>
    <w:rsid w:val="00C81B61"/>
    <w:rsid w:val="00C86727"/>
    <w:rsid w:val="00CA356A"/>
    <w:rsid w:val="00CA4DE9"/>
    <w:rsid w:val="00D04240"/>
    <w:rsid w:val="00D21F2D"/>
    <w:rsid w:val="00D83D97"/>
    <w:rsid w:val="00D85850"/>
    <w:rsid w:val="00DC1B90"/>
    <w:rsid w:val="00DE52DD"/>
    <w:rsid w:val="00DE5675"/>
    <w:rsid w:val="00E00A04"/>
    <w:rsid w:val="00E15D73"/>
    <w:rsid w:val="00E572B5"/>
    <w:rsid w:val="00E65CB3"/>
    <w:rsid w:val="00E7415C"/>
    <w:rsid w:val="00E746E6"/>
    <w:rsid w:val="00EA16A5"/>
    <w:rsid w:val="00EB4BC9"/>
    <w:rsid w:val="00ED4C67"/>
    <w:rsid w:val="00ED786E"/>
    <w:rsid w:val="00F44BF1"/>
    <w:rsid w:val="00F50261"/>
    <w:rsid w:val="00F56EB3"/>
    <w:rsid w:val="00F70110"/>
    <w:rsid w:val="00F7071E"/>
    <w:rsid w:val="00F77955"/>
    <w:rsid w:val="00FA36FA"/>
    <w:rsid w:val="00FB2F1A"/>
    <w:rsid w:val="00FC2B0B"/>
    <w:rsid w:val="00FC5D4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7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84"/>
    <w:pPr>
      <w:ind w:left="720"/>
      <w:contextualSpacing/>
    </w:pPr>
  </w:style>
  <w:style w:type="character" w:styleId="CommentReference">
    <w:name w:val="annotation reference"/>
    <w:basedOn w:val="DefaultParagraphFont"/>
    <w:uiPriority w:val="99"/>
    <w:semiHidden/>
    <w:unhideWhenUsed/>
    <w:rsid w:val="008D63F2"/>
    <w:rPr>
      <w:sz w:val="16"/>
      <w:szCs w:val="16"/>
    </w:rPr>
  </w:style>
  <w:style w:type="paragraph" w:styleId="CommentText">
    <w:name w:val="annotation text"/>
    <w:basedOn w:val="Normal"/>
    <w:link w:val="CommentTextChar"/>
    <w:uiPriority w:val="99"/>
    <w:semiHidden/>
    <w:unhideWhenUsed/>
    <w:rsid w:val="008D63F2"/>
    <w:rPr>
      <w:sz w:val="20"/>
      <w:szCs w:val="20"/>
    </w:rPr>
  </w:style>
  <w:style w:type="character" w:customStyle="1" w:styleId="CommentTextChar">
    <w:name w:val="Comment Text Char"/>
    <w:basedOn w:val="DefaultParagraphFont"/>
    <w:link w:val="CommentText"/>
    <w:uiPriority w:val="99"/>
    <w:semiHidden/>
    <w:rsid w:val="008D63F2"/>
    <w:rPr>
      <w:sz w:val="20"/>
      <w:szCs w:val="20"/>
    </w:rPr>
  </w:style>
  <w:style w:type="paragraph" w:styleId="CommentSubject">
    <w:name w:val="annotation subject"/>
    <w:basedOn w:val="CommentText"/>
    <w:next w:val="CommentText"/>
    <w:link w:val="CommentSubjectChar"/>
    <w:uiPriority w:val="99"/>
    <w:semiHidden/>
    <w:unhideWhenUsed/>
    <w:rsid w:val="008D63F2"/>
    <w:rPr>
      <w:b/>
      <w:bCs/>
    </w:rPr>
  </w:style>
  <w:style w:type="character" w:customStyle="1" w:styleId="CommentSubjectChar">
    <w:name w:val="Comment Subject Char"/>
    <w:basedOn w:val="CommentTextChar"/>
    <w:link w:val="CommentSubject"/>
    <w:uiPriority w:val="99"/>
    <w:semiHidden/>
    <w:rsid w:val="008D63F2"/>
    <w:rPr>
      <w:b/>
      <w:bCs/>
      <w:sz w:val="20"/>
      <w:szCs w:val="20"/>
    </w:rPr>
  </w:style>
  <w:style w:type="paragraph" w:styleId="BalloonText">
    <w:name w:val="Balloon Text"/>
    <w:basedOn w:val="Normal"/>
    <w:link w:val="BalloonTextChar"/>
    <w:uiPriority w:val="99"/>
    <w:semiHidden/>
    <w:unhideWhenUsed/>
    <w:rsid w:val="008D6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F2"/>
    <w:rPr>
      <w:rFonts w:ascii="Segoe UI" w:hAnsi="Segoe UI" w:cs="Segoe UI"/>
      <w:sz w:val="18"/>
      <w:szCs w:val="18"/>
    </w:rPr>
  </w:style>
  <w:style w:type="paragraph" w:styleId="FootnoteText">
    <w:name w:val="footnote text"/>
    <w:basedOn w:val="Normal"/>
    <w:link w:val="FootnoteTextChar"/>
    <w:uiPriority w:val="99"/>
    <w:semiHidden/>
    <w:unhideWhenUsed/>
    <w:rsid w:val="009900BD"/>
    <w:rPr>
      <w:sz w:val="20"/>
      <w:szCs w:val="20"/>
    </w:rPr>
  </w:style>
  <w:style w:type="character" w:customStyle="1" w:styleId="FootnoteTextChar">
    <w:name w:val="Footnote Text Char"/>
    <w:basedOn w:val="DefaultParagraphFont"/>
    <w:link w:val="FootnoteText"/>
    <w:uiPriority w:val="99"/>
    <w:semiHidden/>
    <w:rsid w:val="009900BD"/>
    <w:rPr>
      <w:sz w:val="20"/>
      <w:szCs w:val="20"/>
    </w:rPr>
  </w:style>
  <w:style w:type="character" w:styleId="FootnoteReference">
    <w:name w:val="footnote reference"/>
    <w:basedOn w:val="DefaultParagraphFont"/>
    <w:uiPriority w:val="99"/>
    <w:semiHidden/>
    <w:unhideWhenUsed/>
    <w:rsid w:val="009900BD"/>
    <w:rPr>
      <w:vertAlign w:val="superscript"/>
    </w:rPr>
  </w:style>
  <w:style w:type="paragraph" w:styleId="Header">
    <w:name w:val="header"/>
    <w:basedOn w:val="Normal"/>
    <w:link w:val="HeaderChar"/>
    <w:uiPriority w:val="99"/>
    <w:unhideWhenUsed/>
    <w:rsid w:val="00107526"/>
    <w:pPr>
      <w:tabs>
        <w:tab w:val="center" w:pos="4320"/>
        <w:tab w:val="right" w:pos="8640"/>
      </w:tabs>
    </w:pPr>
  </w:style>
  <w:style w:type="character" w:customStyle="1" w:styleId="HeaderChar">
    <w:name w:val="Header Char"/>
    <w:basedOn w:val="DefaultParagraphFont"/>
    <w:link w:val="Header"/>
    <w:uiPriority w:val="99"/>
    <w:rsid w:val="00107526"/>
  </w:style>
  <w:style w:type="paragraph" w:styleId="Footer">
    <w:name w:val="footer"/>
    <w:basedOn w:val="Normal"/>
    <w:link w:val="FooterChar"/>
    <w:uiPriority w:val="99"/>
    <w:unhideWhenUsed/>
    <w:rsid w:val="00107526"/>
    <w:pPr>
      <w:tabs>
        <w:tab w:val="center" w:pos="4320"/>
        <w:tab w:val="right" w:pos="8640"/>
      </w:tabs>
    </w:pPr>
  </w:style>
  <w:style w:type="character" w:customStyle="1" w:styleId="FooterChar">
    <w:name w:val="Footer Char"/>
    <w:basedOn w:val="DefaultParagraphFont"/>
    <w:link w:val="Footer"/>
    <w:uiPriority w:val="99"/>
    <w:rsid w:val="00107526"/>
  </w:style>
  <w:style w:type="table" w:styleId="TableGrid">
    <w:name w:val="Table Grid"/>
    <w:basedOn w:val="TableNormal"/>
    <w:rsid w:val="008F159C"/>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C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84"/>
    <w:pPr>
      <w:ind w:left="720"/>
      <w:contextualSpacing/>
    </w:pPr>
  </w:style>
  <w:style w:type="character" w:styleId="CommentReference">
    <w:name w:val="annotation reference"/>
    <w:basedOn w:val="DefaultParagraphFont"/>
    <w:uiPriority w:val="99"/>
    <w:semiHidden/>
    <w:unhideWhenUsed/>
    <w:rsid w:val="008D63F2"/>
    <w:rPr>
      <w:sz w:val="16"/>
      <w:szCs w:val="16"/>
    </w:rPr>
  </w:style>
  <w:style w:type="paragraph" w:styleId="CommentText">
    <w:name w:val="annotation text"/>
    <w:basedOn w:val="Normal"/>
    <w:link w:val="CommentTextChar"/>
    <w:uiPriority w:val="99"/>
    <w:semiHidden/>
    <w:unhideWhenUsed/>
    <w:rsid w:val="008D63F2"/>
    <w:rPr>
      <w:sz w:val="20"/>
      <w:szCs w:val="20"/>
    </w:rPr>
  </w:style>
  <w:style w:type="character" w:customStyle="1" w:styleId="CommentTextChar">
    <w:name w:val="Comment Text Char"/>
    <w:basedOn w:val="DefaultParagraphFont"/>
    <w:link w:val="CommentText"/>
    <w:uiPriority w:val="99"/>
    <w:semiHidden/>
    <w:rsid w:val="008D63F2"/>
    <w:rPr>
      <w:sz w:val="20"/>
      <w:szCs w:val="20"/>
    </w:rPr>
  </w:style>
  <w:style w:type="paragraph" w:styleId="CommentSubject">
    <w:name w:val="annotation subject"/>
    <w:basedOn w:val="CommentText"/>
    <w:next w:val="CommentText"/>
    <w:link w:val="CommentSubjectChar"/>
    <w:uiPriority w:val="99"/>
    <w:semiHidden/>
    <w:unhideWhenUsed/>
    <w:rsid w:val="008D63F2"/>
    <w:rPr>
      <w:b/>
      <w:bCs/>
    </w:rPr>
  </w:style>
  <w:style w:type="character" w:customStyle="1" w:styleId="CommentSubjectChar">
    <w:name w:val="Comment Subject Char"/>
    <w:basedOn w:val="CommentTextChar"/>
    <w:link w:val="CommentSubject"/>
    <w:uiPriority w:val="99"/>
    <w:semiHidden/>
    <w:rsid w:val="008D63F2"/>
    <w:rPr>
      <w:b/>
      <w:bCs/>
      <w:sz w:val="20"/>
      <w:szCs w:val="20"/>
    </w:rPr>
  </w:style>
  <w:style w:type="paragraph" w:styleId="BalloonText">
    <w:name w:val="Balloon Text"/>
    <w:basedOn w:val="Normal"/>
    <w:link w:val="BalloonTextChar"/>
    <w:uiPriority w:val="99"/>
    <w:semiHidden/>
    <w:unhideWhenUsed/>
    <w:rsid w:val="008D6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F2"/>
    <w:rPr>
      <w:rFonts w:ascii="Segoe UI" w:hAnsi="Segoe UI" w:cs="Segoe UI"/>
      <w:sz w:val="18"/>
      <w:szCs w:val="18"/>
    </w:rPr>
  </w:style>
  <w:style w:type="paragraph" w:styleId="FootnoteText">
    <w:name w:val="footnote text"/>
    <w:basedOn w:val="Normal"/>
    <w:link w:val="FootnoteTextChar"/>
    <w:uiPriority w:val="99"/>
    <w:semiHidden/>
    <w:unhideWhenUsed/>
    <w:rsid w:val="009900BD"/>
    <w:rPr>
      <w:sz w:val="20"/>
      <w:szCs w:val="20"/>
    </w:rPr>
  </w:style>
  <w:style w:type="character" w:customStyle="1" w:styleId="FootnoteTextChar">
    <w:name w:val="Footnote Text Char"/>
    <w:basedOn w:val="DefaultParagraphFont"/>
    <w:link w:val="FootnoteText"/>
    <w:uiPriority w:val="99"/>
    <w:semiHidden/>
    <w:rsid w:val="009900BD"/>
    <w:rPr>
      <w:sz w:val="20"/>
      <w:szCs w:val="20"/>
    </w:rPr>
  </w:style>
  <w:style w:type="character" w:styleId="FootnoteReference">
    <w:name w:val="footnote reference"/>
    <w:basedOn w:val="DefaultParagraphFont"/>
    <w:uiPriority w:val="99"/>
    <w:semiHidden/>
    <w:unhideWhenUsed/>
    <w:rsid w:val="009900BD"/>
    <w:rPr>
      <w:vertAlign w:val="superscript"/>
    </w:rPr>
  </w:style>
  <w:style w:type="paragraph" w:styleId="Header">
    <w:name w:val="header"/>
    <w:basedOn w:val="Normal"/>
    <w:link w:val="HeaderChar"/>
    <w:uiPriority w:val="99"/>
    <w:unhideWhenUsed/>
    <w:rsid w:val="00107526"/>
    <w:pPr>
      <w:tabs>
        <w:tab w:val="center" w:pos="4320"/>
        <w:tab w:val="right" w:pos="8640"/>
      </w:tabs>
    </w:pPr>
  </w:style>
  <w:style w:type="character" w:customStyle="1" w:styleId="HeaderChar">
    <w:name w:val="Header Char"/>
    <w:basedOn w:val="DefaultParagraphFont"/>
    <w:link w:val="Header"/>
    <w:uiPriority w:val="99"/>
    <w:rsid w:val="00107526"/>
  </w:style>
  <w:style w:type="paragraph" w:styleId="Footer">
    <w:name w:val="footer"/>
    <w:basedOn w:val="Normal"/>
    <w:link w:val="FooterChar"/>
    <w:uiPriority w:val="99"/>
    <w:unhideWhenUsed/>
    <w:rsid w:val="00107526"/>
    <w:pPr>
      <w:tabs>
        <w:tab w:val="center" w:pos="4320"/>
        <w:tab w:val="right" w:pos="8640"/>
      </w:tabs>
    </w:pPr>
  </w:style>
  <w:style w:type="character" w:customStyle="1" w:styleId="FooterChar">
    <w:name w:val="Footer Char"/>
    <w:basedOn w:val="DefaultParagraphFont"/>
    <w:link w:val="Footer"/>
    <w:uiPriority w:val="99"/>
    <w:rsid w:val="00107526"/>
  </w:style>
  <w:style w:type="table" w:styleId="TableGrid">
    <w:name w:val="Table Grid"/>
    <w:basedOn w:val="TableNormal"/>
    <w:rsid w:val="008F159C"/>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C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19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19918AAF5D7488143D99FD9671286"/>
        <w:category>
          <w:name w:val="General"/>
          <w:gallery w:val="placeholder"/>
        </w:category>
        <w:types>
          <w:type w:val="bbPlcHdr"/>
        </w:types>
        <w:behaviors>
          <w:behavior w:val="content"/>
        </w:behaviors>
        <w:guid w:val="{E6EED129-5168-BD4D-9131-93A80799AEEE}"/>
      </w:docPartPr>
      <w:docPartBody>
        <w:p w:rsidR="007F62AD" w:rsidRDefault="00DF28A9" w:rsidP="00DF28A9">
          <w:pPr>
            <w:pStyle w:val="36819918AAF5D7488143D99FD9671286"/>
          </w:pPr>
          <w:r>
            <w:t>[Type text]</w:t>
          </w:r>
        </w:p>
      </w:docPartBody>
    </w:docPart>
    <w:docPart>
      <w:docPartPr>
        <w:name w:val="8CA0B045AFC3AA48B44F43CABF9A0675"/>
        <w:category>
          <w:name w:val="General"/>
          <w:gallery w:val="placeholder"/>
        </w:category>
        <w:types>
          <w:type w:val="bbPlcHdr"/>
        </w:types>
        <w:behaviors>
          <w:behavior w:val="content"/>
        </w:behaviors>
        <w:guid w:val="{10BF1421-8EE4-F84B-AE27-7EB1ECB596E4}"/>
      </w:docPartPr>
      <w:docPartBody>
        <w:p w:rsidR="007F62AD" w:rsidRDefault="00DF28A9" w:rsidP="00DF28A9">
          <w:pPr>
            <w:pStyle w:val="8CA0B045AFC3AA48B44F43CABF9A0675"/>
          </w:pPr>
          <w:r>
            <w:t>[Type text]</w:t>
          </w:r>
        </w:p>
      </w:docPartBody>
    </w:docPart>
    <w:docPart>
      <w:docPartPr>
        <w:name w:val="5827CF181E430A41946C827E56931E1E"/>
        <w:category>
          <w:name w:val="General"/>
          <w:gallery w:val="placeholder"/>
        </w:category>
        <w:types>
          <w:type w:val="bbPlcHdr"/>
        </w:types>
        <w:behaviors>
          <w:behavior w:val="content"/>
        </w:behaviors>
        <w:guid w:val="{3C933930-AEB8-194C-9707-C98E01762569}"/>
      </w:docPartPr>
      <w:docPartBody>
        <w:p w:rsidR="007F62AD" w:rsidRDefault="00DF28A9" w:rsidP="00DF28A9">
          <w:pPr>
            <w:pStyle w:val="5827CF181E430A41946C827E56931E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A9"/>
    <w:rsid w:val="005D46C9"/>
    <w:rsid w:val="007F62AD"/>
    <w:rsid w:val="00DF28A9"/>
    <w:rsid w:val="00E21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19918AAF5D7488143D99FD9671286">
    <w:name w:val="36819918AAF5D7488143D99FD9671286"/>
    <w:rsid w:val="00DF28A9"/>
  </w:style>
  <w:style w:type="paragraph" w:customStyle="1" w:styleId="8CA0B045AFC3AA48B44F43CABF9A0675">
    <w:name w:val="8CA0B045AFC3AA48B44F43CABF9A0675"/>
    <w:rsid w:val="00DF28A9"/>
  </w:style>
  <w:style w:type="paragraph" w:customStyle="1" w:styleId="5827CF181E430A41946C827E56931E1E">
    <w:name w:val="5827CF181E430A41946C827E56931E1E"/>
    <w:rsid w:val="00DF28A9"/>
  </w:style>
  <w:style w:type="paragraph" w:customStyle="1" w:styleId="6A05FE888A4048499EB8C3912C9DD0ED">
    <w:name w:val="6A05FE888A4048499EB8C3912C9DD0ED"/>
    <w:rsid w:val="00DF28A9"/>
  </w:style>
  <w:style w:type="paragraph" w:customStyle="1" w:styleId="18ED0D05BDE62B438E8B948EF51FDF7C">
    <w:name w:val="18ED0D05BDE62B438E8B948EF51FDF7C"/>
    <w:rsid w:val="00DF28A9"/>
  </w:style>
  <w:style w:type="paragraph" w:customStyle="1" w:styleId="253D49DDCE7CE348A6E727DD4AA0D4BF">
    <w:name w:val="253D49DDCE7CE348A6E727DD4AA0D4BF"/>
    <w:rsid w:val="00DF28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19918AAF5D7488143D99FD9671286">
    <w:name w:val="36819918AAF5D7488143D99FD9671286"/>
    <w:rsid w:val="00DF28A9"/>
  </w:style>
  <w:style w:type="paragraph" w:customStyle="1" w:styleId="8CA0B045AFC3AA48B44F43CABF9A0675">
    <w:name w:val="8CA0B045AFC3AA48B44F43CABF9A0675"/>
    <w:rsid w:val="00DF28A9"/>
  </w:style>
  <w:style w:type="paragraph" w:customStyle="1" w:styleId="5827CF181E430A41946C827E56931E1E">
    <w:name w:val="5827CF181E430A41946C827E56931E1E"/>
    <w:rsid w:val="00DF28A9"/>
  </w:style>
  <w:style w:type="paragraph" w:customStyle="1" w:styleId="6A05FE888A4048499EB8C3912C9DD0ED">
    <w:name w:val="6A05FE888A4048499EB8C3912C9DD0ED"/>
    <w:rsid w:val="00DF28A9"/>
  </w:style>
  <w:style w:type="paragraph" w:customStyle="1" w:styleId="18ED0D05BDE62B438E8B948EF51FDF7C">
    <w:name w:val="18ED0D05BDE62B438E8B948EF51FDF7C"/>
    <w:rsid w:val="00DF28A9"/>
  </w:style>
  <w:style w:type="paragraph" w:customStyle="1" w:styleId="253D49DDCE7CE348A6E727DD4AA0D4BF">
    <w:name w:val="253D49DDCE7CE348A6E727DD4AA0D4BF"/>
    <w:rsid w:val="00DF2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94CB-4910-4923-AD30-CEA28119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3145</Words>
  <Characters>16984</Characters>
  <Application>Microsoft Office Word</Application>
  <DocSecurity>0</DocSecurity>
  <Lines>141</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UoCSM</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Bertsias</dc:creator>
  <cp:lastModifiedBy>PT</cp:lastModifiedBy>
  <cp:revision>6</cp:revision>
  <cp:lastPrinted>2015-04-18T17:27:00Z</cp:lastPrinted>
  <dcterms:created xsi:type="dcterms:W3CDTF">2015-03-17T07:13:00Z</dcterms:created>
  <dcterms:modified xsi:type="dcterms:W3CDTF">2015-04-18T17:28:00Z</dcterms:modified>
</cp:coreProperties>
</file>